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080"/>
      </w:tblGrid>
      <w:tr w:rsidR="00997DF0" w:rsidRPr="00E86066" w:rsidTr="006B435D">
        <w:tc>
          <w:tcPr>
            <w:tcW w:w="9782" w:type="dxa"/>
            <w:gridSpan w:val="2"/>
            <w:shd w:val="clear" w:color="auto" w:fill="F2F2F2" w:themeFill="background1" w:themeFillShade="F2"/>
          </w:tcPr>
          <w:p w:rsidR="00997DF0" w:rsidRPr="00997DF0" w:rsidRDefault="00997DF0" w:rsidP="00990B05">
            <w:pPr>
              <w:jc w:val="both"/>
              <w:rPr>
                <w:rFonts w:cs="Calibri"/>
                <w:b/>
                <w:sz w:val="28"/>
                <w:szCs w:val="28"/>
              </w:rPr>
            </w:pPr>
            <w:r w:rsidRPr="00997DF0">
              <w:rPr>
                <w:rFonts w:cs="Calibri"/>
                <w:b/>
                <w:sz w:val="28"/>
                <w:szCs w:val="28"/>
              </w:rPr>
              <w:t>Introduction</w:t>
            </w:r>
          </w:p>
        </w:tc>
      </w:tr>
      <w:tr w:rsidR="00CB7640" w:rsidRPr="00E86066" w:rsidTr="006B435D">
        <w:tc>
          <w:tcPr>
            <w:tcW w:w="1702" w:type="dxa"/>
            <w:shd w:val="clear" w:color="auto" w:fill="F2F2F2" w:themeFill="background1" w:themeFillShade="F2"/>
          </w:tcPr>
          <w:p w:rsidR="00CB7640" w:rsidRPr="008B33CF" w:rsidRDefault="00CB7640" w:rsidP="007D47E9">
            <w:pPr>
              <w:rPr>
                <w:rFonts w:cs="Calibri"/>
                <w:b/>
                <w:szCs w:val="22"/>
              </w:rPr>
            </w:pPr>
            <w:r w:rsidRPr="008B33CF">
              <w:rPr>
                <w:rFonts w:cs="Calibri"/>
                <w:b/>
                <w:szCs w:val="22"/>
              </w:rPr>
              <w:t>Purpose</w:t>
            </w:r>
          </w:p>
        </w:tc>
        <w:tc>
          <w:tcPr>
            <w:tcW w:w="8080" w:type="dxa"/>
            <w:shd w:val="clear" w:color="auto" w:fill="auto"/>
          </w:tcPr>
          <w:p w:rsidR="00CB7640" w:rsidRPr="008B33CF" w:rsidRDefault="00CB7640" w:rsidP="008334A4">
            <w:pPr>
              <w:jc w:val="both"/>
              <w:rPr>
                <w:rFonts w:cs="Calibri"/>
                <w:szCs w:val="22"/>
              </w:rPr>
            </w:pPr>
            <w:r w:rsidRPr="008B33CF">
              <w:rPr>
                <w:rFonts w:cs="Calibri"/>
                <w:szCs w:val="22"/>
              </w:rPr>
              <w:t xml:space="preserve">This document provides direction and </w:t>
            </w:r>
            <w:r w:rsidR="008762D3">
              <w:rPr>
                <w:rFonts w:cs="Calibri"/>
                <w:szCs w:val="22"/>
              </w:rPr>
              <w:t xml:space="preserve">a </w:t>
            </w:r>
            <w:r w:rsidRPr="008B33CF">
              <w:rPr>
                <w:rFonts w:cs="Calibri"/>
                <w:szCs w:val="22"/>
              </w:rPr>
              <w:t xml:space="preserve">guide </w:t>
            </w:r>
            <w:r w:rsidR="008762D3">
              <w:rPr>
                <w:rFonts w:cs="Calibri"/>
                <w:szCs w:val="22"/>
              </w:rPr>
              <w:t xml:space="preserve">to use least restrictive practices when </w:t>
            </w:r>
            <w:r w:rsidR="008334A4">
              <w:rPr>
                <w:rFonts w:cs="Calibri"/>
                <w:szCs w:val="22"/>
              </w:rPr>
              <w:t xml:space="preserve">providing services to/with </w:t>
            </w:r>
            <w:r w:rsidR="008762D3">
              <w:rPr>
                <w:rFonts w:cs="Calibri"/>
                <w:szCs w:val="22"/>
              </w:rPr>
              <w:t>tāngata whai ora/tāngata whaikaha</w:t>
            </w:r>
            <w:r w:rsidR="008334A4">
              <w:rPr>
                <w:rFonts w:cs="Calibri"/>
                <w:szCs w:val="22"/>
              </w:rPr>
              <w:t xml:space="preserve">. </w:t>
            </w:r>
            <w:r w:rsidR="008762D3">
              <w:rPr>
                <w:rFonts w:cs="Calibri"/>
                <w:szCs w:val="22"/>
              </w:rPr>
              <w:t xml:space="preserve"> </w:t>
            </w:r>
          </w:p>
        </w:tc>
      </w:tr>
      <w:tr w:rsidR="00CB7640" w:rsidRPr="00E86066" w:rsidTr="006B435D">
        <w:tc>
          <w:tcPr>
            <w:tcW w:w="1702" w:type="dxa"/>
            <w:shd w:val="clear" w:color="auto" w:fill="F2F2F2" w:themeFill="background1" w:themeFillShade="F2"/>
          </w:tcPr>
          <w:p w:rsidR="00CB7640" w:rsidRPr="008B33CF" w:rsidRDefault="00CB7640" w:rsidP="007D47E9">
            <w:pPr>
              <w:rPr>
                <w:rFonts w:cs="Calibri"/>
                <w:b/>
                <w:szCs w:val="22"/>
              </w:rPr>
            </w:pPr>
            <w:r w:rsidRPr="008B33CF">
              <w:rPr>
                <w:rFonts w:cs="Calibri"/>
                <w:b/>
                <w:szCs w:val="22"/>
              </w:rPr>
              <w:t>Scope</w:t>
            </w:r>
          </w:p>
        </w:tc>
        <w:tc>
          <w:tcPr>
            <w:tcW w:w="8080" w:type="dxa"/>
            <w:shd w:val="clear" w:color="auto" w:fill="auto"/>
          </w:tcPr>
          <w:p w:rsidR="00CB7640" w:rsidRPr="008B33CF" w:rsidRDefault="00815AF1" w:rsidP="00A50101">
            <w:pPr>
              <w:rPr>
                <w:rFonts w:cs="Calibri"/>
                <w:szCs w:val="22"/>
              </w:rPr>
            </w:pPr>
            <w:r>
              <w:rPr>
                <w:rFonts w:cs="Calibri"/>
                <w:szCs w:val="22"/>
              </w:rPr>
              <w:t xml:space="preserve">Staff </w:t>
            </w:r>
            <w:r w:rsidR="003C2C38" w:rsidRPr="008B33CF">
              <w:rPr>
                <w:rFonts w:cs="Calibri"/>
                <w:szCs w:val="22"/>
              </w:rPr>
              <w:t>providing a service</w:t>
            </w:r>
            <w:r w:rsidR="00C97A5D" w:rsidRPr="008B33CF">
              <w:rPr>
                <w:rFonts w:cs="Calibri"/>
                <w:szCs w:val="22"/>
              </w:rPr>
              <w:t xml:space="preserve"> to</w:t>
            </w:r>
            <w:r w:rsidR="00A50101">
              <w:rPr>
                <w:rFonts w:cs="Calibri"/>
                <w:szCs w:val="22"/>
              </w:rPr>
              <w:t xml:space="preserve"> tāngata whai ora/tāngata whaikaha.</w:t>
            </w:r>
          </w:p>
        </w:tc>
      </w:tr>
      <w:tr w:rsidR="00997DF0" w:rsidRPr="00E86066" w:rsidTr="006B435D">
        <w:tc>
          <w:tcPr>
            <w:tcW w:w="1702" w:type="dxa"/>
            <w:shd w:val="clear" w:color="auto" w:fill="F2F2F2" w:themeFill="background1" w:themeFillShade="F2"/>
          </w:tcPr>
          <w:p w:rsidR="00997DF0" w:rsidRPr="008B33CF" w:rsidRDefault="00997DF0" w:rsidP="007D47E9">
            <w:pPr>
              <w:rPr>
                <w:rFonts w:cs="Calibri"/>
                <w:b/>
                <w:szCs w:val="22"/>
              </w:rPr>
            </w:pPr>
            <w:r w:rsidRPr="008B33CF">
              <w:rPr>
                <w:rFonts w:cs="Calibri"/>
                <w:b/>
                <w:szCs w:val="22"/>
              </w:rPr>
              <w:t>Policy</w:t>
            </w:r>
          </w:p>
        </w:tc>
        <w:tc>
          <w:tcPr>
            <w:tcW w:w="8080" w:type="dxa"/>
            <w:shd w:val="clear" w:color="auto" w:fill="auto"/>
          </w:tcPr>
          <w:p w:rsidR="00997DF0" w:rsidRPr="008334A4" w:rsidRDefault="00997DF0" w:rsidP="00997DF0">
            <w:pPr>
              <w:rPr>
                <w:rFonts w:cs="Calibri"/>
                <w:b/>
                <w:sz w:val="28"/>
                <w:szCs w:val="28"/>
              </w:rPr>
            </w:pPr>
            <w:r w:rsidRPr="008334A4">
              <w:rPr>
                <w:rFonts w:cs="Calibri"/>
                <w:b/>
                <w:sz w:val="28"/>
                <w:szCs w:val="28"/>
              </w:rPr>
              <w:t xml:space="preserve">Restraint is not applied at our service. </w:t>
            </w:r>
          </w:p>
          <w:p w:rsidR="00997DF0" w:rsidRPr="008B33CF" w:rsidRDefault="00997DF0" w:rsidP="00997DF0">
            <w:pPr>
              <w:rPr>
                <w:rFonts w:cs="Calibri"/>
                <w:szCs w:val="22"/>
              </w:rPr>
            </w:pPr>
            <w:r w:rsidRPr="008B33CF">
              <w:rPr>
                <w:rFonts w:cs="Calibri"/>
                <w:szCs w:val="22"/>
              </w:rPr>
              <w:t xml:space="preserve">If de-escalation or </w:t>
            </w:r>
            <w:r>
              <w:rPr>
                <w:rFonts w:cs="Calibri"/>
                <w:szCs w:val="22"/>
              </w:rPr>
              <w:t xml:space="preserve">other </w:t>
            </w:r>
            <w:r w:rsidRPr="008B33CF">
              <w:rPr>
                <w:rFonts w:cs="Calibri"/>
                <w:szCs w:val="22"/>
              </w:rPr>
              <w:t>crisis interventions are not effective an</w:t>
            </w:r>
            <w:r w:rsidR="008334A4">
              <w:rPr>
                <w:rFonts w:cs="Calibri"/>
                <w:szCs w:val="22"/>
              </w:rPr>
              <w:t>d no longer a safe option staff</w:t>
            </w:r>
            <w:r w:rsidRPr="008B33CF">
              <w:rPr>
                <w:rFonts w:cs="Calibri"/>
                <w:szCs w:val="22"/>
              </w:rPr>
              <w:t>:</w:t>
            </w:r>
          </w:p>
          <w:p w:rsidR="00997DF0" w:rsidRDefault="00997DF0" w:rsidP="00997DF0">
            <w:pPr>
              <w:jc w:val="both"/>
              <w:rPr>
                <w:rFonts w:cs="Calibri"/>
                <w:szCs w:val="22"/>
              </w:rPr>
            </w:pPr>
            <w:r>
              <w:rPr>
                <w:noProof/>
              </w:rPr>
              <mc:AlternateContent>
                <mc:Choice Requires="wps">
                  <w:drawing>
                    <wp:anchor distT="0" distB="0" distL="114300" distR="114300" simplePos="0" relativeHeight="251680768" behindDoc="0" locked="0" layoutInCell="1" allowOverlap="1" wp14:anchorId="331BF342" wp14:editId="525007E3">
                      <wp:simplePos x="0" y="0"/>
                      <wp:positionH relativeFrom="column">
                        <wp:posOffset>1307465</wp:posOffset>
                      </wp:positionH>
                      <wp:positionV relativeFrom="paragraph">
                        <wp:posOffset>73660</wp:posOffset>
                      </wp:positionV>
                      <wp:extent cx="2457450" cy="9423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942340"/>
                              </a:xfrm>
                              <a:prstGeom prst="rect">
                                <a:avLst/>
                              </a:prstGeom>
                              <a:solidFill>
                                <a:srgbClr val="FF0000"/>
                              </a:solidFill>
                              <a:ln w="9525">
                                <a:noFill/>
                                <a:miter lim="800000"/>
                                <a:headEnd/>
                                <a:tailEnd/>
                              </a:ln>
                            </wps:spPr>
                            <wps:txbx>
                              <w:txbxContent>
                                <w:p w:rsidR="00997DF0" w:rsidRDefault="00997DF0" w:rsidP="00997DF0">
                                  <w:pPr>
                                    <w:jc w:val="center"/>
                                    <w:rPr>
                                      <w:rFonts w:cs="Calibri"/>
                                      <w:b/>
                                      <w:sz w:val="24"/>
                                      <w:szCs w:val="24"/>
                                    </w:rPr>
                                  </w:pPr>
                                </w:p>
                                <w:p w:rsidR="00997DF0" w:rsidRPr="008B33CF" w:rsidRDefault="00997DF0" w:rsidP="00997DF0">
                                  <w:pPr>
                                    <w:jc w:val="center"/>
                                    <w:rPr>
                                      <w:rFonts w:cs="Calibri"/>
                                      <w:b/>
                                      <w:sz w:val="24"/>
                                      <w:szCs w:val="24"/>
                                    </w:rPr>
                                  </w:pPr>
                                  <w:r w:rsidRPr="008B33CF">
                                    <w:rPr>
                                      <w:rFonts w:cs="Calibri"/>
                                      <w:b/>
                                      <w:sz w:val="24"/>
                                      <w:szCs w:val="24"/>
                                    </w:rPr>
                                    <w:t>Call the Police on 111</w:t>
                                  </w:r>
                                </w:p>
                                <w:p w:rsidR="00997DF0" w:rsidRPr="008B33CF" w:rsidRDefault="00997DF0" w:rsidP="00997DF0">
                                  <w:pPr>
                                    <w:tabs>
                                      <w:tab w:val="left" w:pos="1155"/>
                                    </w:tabs>
                                    <w:jc w:val="center"/>
                                    <w:rPr>
                                      <w:rFonts w:cs="Calibri"/>
                                      <w:b/>
                                      <w:sz w:val="24"/>
                                      <w:szCs w:val="24"/>
                                    </w:rPr>
                                  </w:pPr>
                                  <w:r w:rsidRPr="008B33CF">
                                    <w:rPr>
                                      <w:rFonts w:cs="Calibri"/>
                                      <w:b/>
                                      <w:sz w:val="24"/>
                                      <w:szCs w:val="24"/>
                                    </w:rPr>
                                    <w:t>&amp;</w:t>
                                  </w:r>
                                </w:p>
                                <w:p w:rsidR="00997DF0" w:rsidRPr="00407573" w:rsidRDefault="00272336" w:rsidP="00997DF0">
                                  <w:pPr>
                                    <w:jc w:val="center"/>
                                    <w:rPr>
                                      <w:rFonts w:cs="Calibri"/>
                                      <w:b/>
                                      <w:sz w:val="24"/>
                                      <w:szCs w:val="24"/>
                                    </w:rPr>
                                  </w:pPr>
                                  <w:hyperlink r:id="rId8" w:history="1">
                                    <w:r w:rsidR="00997DF0" w:rsidRPr="00407573">
                                      <w:rPr>
                                        <w:rStyle w:val="Hyperlink"/>
                                        <w:rFonts w:cs="Calibri"/>
                                        <w:b/>
                                        <w:sz w:val="24"/>
                                        <w:szCs w:val="24"/>
                                      </w:rPr>
                                      <w:t>The mental health crisis service</w:t>
                                    </w:r>
                                  </w:hyperlink>
                                </w:p>
                                <w:p w:rsidR="00997DF0" w:rsidRPr="00BD6DBE" w:rsidRDefault="00997DF0" w:rsidP="00997DF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BF342" id="_x0000_t202" coordsize="21600,21600" o:spt="202" path="m,l,21600r21600,l21600,xe">
                      <v:stroke joinstyle="miter"/>
                      <v:path gradientshapeok="t" o:connecttype="rect"/>
                    </v:shapetype>
                    <v:shape id="Text Box 2" o:spid="_x0000_s1026" type="#_x0000_t202" style="position:absolute;left:0;text-align:left;margin-left:102.95pt;margin-top:5.8pt;width:193.5pt;height:7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" fillcolor="red" stroked="f">
                      <v:textbox>
                        <w:txbxContent>
                          <w:p w:rsidR="00997DF0" w:rsidRDefault="00997DF0" w:rsidP="00997DF0">
                            <w:pPr>
                              <w:jc w:val="center"/>
                              <w:rPr>
                                <w:rFonts w:cs="Calibri"/>
                                <w:b/>
                                <w:sz w:val="24"/>
                                <w:szCs w:val="24"/>
                              </w:rPr>
                            </w:pPr>
                          </w:p>
                          <w:p w:rsidR="00997DF0" w:rsidRPr="008B33CF" w:rsidRDefault="00997DF0" w:rsidP="00997DF0">
                            <w:pPr>
                              <w:jc w:val="center"/>
                              <w:rPr>
                                <w:rFonts w:cs="Calibri"/>
                                <w:b/>
                                <w:sz w:val="24"/>
                                <w:szCs w:val="24"/>
                              </w:rPr>
                            </w:pPr>
                            <w:r w:rsidRPr="008B33CF">
                              <w:rPr>
                                <w:rFonts w:cs="Calibri"/>
                                <w:b/>
                                <w:sz w:val="24"/>
                                <w:szCs w:val="24"/>
                              </w:rPr>
                              <w:t>Call the Police on 111</w:t>
                            </w:r>
                          </w:p>
                          <w:p w:rsidR="00997DF0" w:rsidRPr="008B33CF" w:rsidRDefault="00997DF0" w:rsidP="00997DF0">
                            <w:pPr>
                              <w:tabs>
                                <w:tab w:val="left" w:pos="1155"/>
                              </w:tabs>
                              <w:jc w:val="center"/>
                              <w:rPr>
                                <w:rFonts w:cs="Calibri"/>
                                <w:b/>
                                <w:sz w:val="24"/>
                                <w:szCs w:val="24"/>
                              </w:rPr>
                            </w:pPr>
                            <w:r w:rsidRPr="008B33CF">
                              <w:rPr>
                                <w:rFonts w:cs="Calibri"/>
                                <w:b/>
                                <w:sz w:val="24"/>
                                <w:szCs w:val="24"/>
                              </w:rPr>
                              <w:t>&amp;</w:t>
                            </w:r>
                          </w:p>
                          <w:p w:rsidR="00997DF0" w:rsidRPr="00407573" w:rsidRDefault="006E7761" w:rsidP="00997DF0">
                            <w:pPr>
                              <w:jc w:val="center"/>
                              <w:rPr>
                                <w:rFonts w:cs="Calibri"/>
                                <w:b/>
                                <w:sz w:val="24"/>
                                <w:szCs w:val="24"/>
                              </w:rPr>
                            </w:pPr>
                            <w:hyperlink r:id="rId9" w:history="1">
                              <w:r w:rsidR="00997DF0" w:rsidRPr="00407573">
                                <w:rPr>
                                  <w:rStyle w:val="Hyperlink"/>
                                  <w:rFonts w:cs="Calibri"/>
                                  <w:b/>
                                  <w:sz w:val="24"/>
                                  <w:szCs w:val="24"/>
                                </w:rPr>
                                <w:t>The mental health crisis service</w:t>
                              </w:r>
                            </w:hyperlink>
                          </w:p>
                          <w:p w:rsidR="00997DF0" w:rsidRPr="00BD6DBE" w:rsidRDefault="00997DF0" w:rsidP="00997DF0">
                            <w:pPr>
                              <w:rPr>
                                <w:sz w:val="24"/>
                                <w:szCs w:val="24"/>
                              </w:rPr>
                            </w:pPr>
                          </w:p>
                        </w:txbxContent>
                      </v:textbox>
                    </v:shape>
                  </w:pict>
                </mc:Fallback>
              </mc:AlternateContent>
            </w:r>
            <w:r w:rsidRPr="00BA3F29">
              <w:rPr>
                <w:noProof/>
              </w:rPr>
              <w:drawing>
                <wp:inline distT="0" distB="0" distL="0" distR="0" wp14:anchorId="634B724B" wp14:editId="606C977D">
                  <wp:extent cx="932815" cy="1018540"/>
                  <wp:effectExtent l="0" t="0" r="0" b="0"/>
                  <wp:docPr id="5" name="Picture 331" descr="http://www.writingwildly.com/uploads/4/3/6/6/4366763/5952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writingwildly.com/uploads/4/3/6/6/4366763/595206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815" cy="1018540"/>
                          </a:xfrm>
                          <a:prstGeom prst="rect">
                            <a:avLst/>
                          </a:prstGeom>
                          <a:noFill/>
                          <a:ln>
                            <a:noFill/>
                          </a:ln>
                        </pic:spPr>
                      </pic:pic>
                    </a:graphicData>
                  </a:graphic>
                </wp:inline>
              </w:drawing>
            </w:r>
          </w:p>
          <w:p w:rsidR="00997DF0" w:rsidRDefault="00997DF0" w:rsidP="00997DF0">
            <w:pPr>
              <w:jc w:val="both"/>
              <w:rPr>
                <w:rFonts w:cs="Calibri"/>
                <w:szCs w:val="22"/>
              </w:rPr>
            </w:pPr>
            <w:r>
              <w:rPr>
                <w:rFonts w:cs="Calibri"/>
                <w:szCs w:val="22"/>
              </w:rPr>
              <w:t>Staff responds to an unmanageable situation in a manner to keep themselves, tāngata whai ora/tāngata whaikaha, and visitors safe.</w:t>
            </w:r>
          </w:p>
          <w:p w:rsidR="00997DF0" w:rsidRDefault="00997DF0" w:rsidP="008334A4">
            <w:pPr>
              <w:jc w:val="both"/>
              <w:rPr>
                <w:rFonts w:cs="Calibri"/>
                <w:szCs w:val="22"/>
              </w:rPr>
            </w:pPr>
            <w:r>
              <w:rPr>
                <w:rFonts w:cs="Calibri"/>
                <w:szCs w:val="22"/>
              </w:rPr>
              <w:t xml:space="preserve">If staff use restraint under section 41 (1) under the </w:t>
            </w:r>
            <w:hyperlink r:id="rId11" w:anchor="DLM328259" w:history="1">
              <w:r w:rsidRPr="002F6DAA">
                <w:rPr>
                  <w:rStyle w:val="Hyperlink"/>
                  <w:rFonts w:cs="Calibri"/>
                  <w:szCs w:val="22"/>
                </w:rPr>
                <w:t>Crimes Act 1961</w:t>
              </w:r>
            </w:hyperlink>
            <w:r>
              <w:rPr>
                <w:rFonts w:cs="Calibri"/>
                <w:szCs w:val="22"/>
              </w:rPr>
              <w:t xml:space="preserve"> all criteria of NZS 8134:2021 Ngā Paerewa subsection 6.1, 6.2 and 6.3 will be implemented.</w:t>
            </w:r>
            <w:r w:rsidR="008334A4">
              <w:rPr>
                <w:rFonts w:cs="Calibri"/>
                <w:szCs w:val="22"/>
              </w:rPr>
              <w:t xml:space="preserve"> </w:t>
            </w:r>
          </w:p>
          <w:p w:rsidR="00091FA6" w:rsidRDefault="00091FA6" w:rsidP="00C6063D">
            <w:pPr>
              <w:jc w:val="both"/>
              <w:rPr>
                <w:rFonts w:cs="Calibri"/>
                <w:szCs w:val="22"/>
              </w:rPr>
            </w:pPr>
            <w:r>
              <w:rPr>
                <w:rFonts w:cs="Calibri"/>
                <w:szCs w:val="22"/>
              </w:rPr>
              <w:t>We implement the processes identified in the ‘Adverse Events’ policies and procedures for near-miss restraints and restraint episodes.</w:t>
            </w:r>
          </w:p>
        </w:tc>
      </w:tr>
      <w:tr w:rsidR="00CB7640" w:rsidRPr="00E86066" w:rsidTr="006B435D">
        <w:tc>
          <w:tcPr>
            <w:tcW w:w="9782" w:type="dxa"/>
            <w:gridSpan w:val="2"/>
            <w:tcBorders>
              <w:bottom w:val="single" w:sz="4" w:space="0" w:color="auto"/>
            </w:tcBorders>
            <w:shd w:val="clear" w:color="auto" w:fill="F2F2F2" w:themeFill="background1" w:themeFillShade="F2"/>
          </w:tcPr>
          <w:p w:rsidR="00CB7640" w:rsidRPr="008B33CF" w:rsidRDefault="00CB7640" w:rsidP="007D47E9">
            <w:pPr>
              <w:rPr>
                <w:rFonts w:cs="Calibri"/>
                <w:b/>
                <w:szCs w:val="22"/>
              </w:rPr>
            </w:pPr>
            <w:r w:rsidRPr="008B33CF">
              <w:rPr>
                <w:rFonts w:cs="Calibri"/>
                <w:b/>
                <w:szCs w:val="22"/>
              </w:rPr>
              <w:t>References</w:t>
            </w:r>
          </w:p>
        </w:tc>
      </w:tr>
      <w:tr w:rsidR="00CB7640" w:rsidRPr="00E86066" w:rsidTr="006B435D">
        <w:tc>
          <w:tcPr>
            <w:tcW w:w="1702" w:type="dxa"/>
            <w:shd w:val="clear" w:color="auto" w:fill="F2F2F2" w:themeFill="background1" w:themeFillShade="F2"/>
          </w:tcPr>
          <w:p w:rsidR="00CB7640" w:rsidRPr="008B33CF" w:rsidRDefault="00CB7640" w:rsidP="007D47E9">
            <w:pPr>
              <w:rPr>
                <w:rFonts w:cs="Calibri"/>
                <w:b/>
                <w:szCs w:val="22"/>
              </w:rPr>
            </w:pPr>
            <w:r w:rsidRPr="008B33CF">
              <w:rPr>
                <w:rFonts w:cs="Calibri"/>
                <w:b/>
                <w:szCs w:val="22"/>
              </w:rPr>
              <w:t>Legislation</w:t>
            </w:r>
          </w:p>
        </w:tc>
        <w:tc>
          <w:tcPr>
            <w:tcW w:w="8080" w:type="dxa"/>
            <w:shd w:val="clear" w:color="auto" w:fill="auto"/>
          </w:tcPr>
          <w:p w:rsidR="00CB7640" w:rsidRPr="008B33CF" w:rsidRDefault="00272336" w:rsidP="007D47E9">
            <w:pPr>
              <w:rPr>
                <w:rFonts w:cs="Calibri"/>
                <w:szCs w:val="22"/>
              </w:rPr>
            </w:pPr>
            <w:hyperlink r:id="rId12" w:history="1">
              <w:r w:rsidR="00CB7640" w:rsidRPr="006218A3">
                <w:rPr>
                  <w:rStyle w:val="Hyperlink"/>
                  <w:rFonts w:cs="Calibri"/>
                  <w:szCs w:val="22"/>
                </w:rPr>
                <w:t>Code of Health and Disability Consumers’ Rights 1996</w:t>
              </w:r>
            </w:hyperlink>
          </w:p>
          <w:p w:rsidR="00CB7640" w:rsidRPr="008B33CF" w:rsidRDefault="00272336" w:rsidP="007D47E9">
            <w:pPr>
              <w:rPr>
                <w:rFonts w:cs="Calibri"/>
                <w:szCs w:val="22"/>
              </w:rPr>
            </w:pPr>
            <w:hyperlink r:id="rId13" w:history="1">
              <w:r w:rsidR="00CB7640" w:rsidRPr="006218A3">
                <w:rPr>
                  <w:rStyle w:val="Hyperlink"/>
                  <w:rFonts w:cs="Calibri"/>
                  <w:szCs w:val="22"/>
                </w:rPr>
                <w:t>New Zealand Bill of Rights Act 1990</w:t>
              </w:r>
            </w:hyperlink>
          </w:p>
          <w:p w:rsidR="00D50647" w:rsidRPr="008B33CF" w:rsidRDefault="00272336" w:rsidP="006218A3">
            <w:pPr>
              <w:rPr>
                <w:rFonts w:cs="Calibri"/>
                <w:szCs w:val="22"/>
              </w:rPr>
            </w:pPr>
            <w:hyperlink r:id="rId14" w:history="1">
              <w:r w:rsidR="00CB7640" w:rsidRPr="006218A3">
                <w:rPr>
                  <w:rStyle w:val="Hyperlink"/>
                  <w:rFonts w:cs="Calibri"/>
                  <w:szCs w:val="22"/>
                </w:rPr>
                <w:t>Human Rights Act 1993</w:t>
              </w:r>
            </w:hyperlink>
          </w:p>
        </w:tc>
      </w:tr>
      <w:tr w:rsidR="00CB7640" w:rsidRPr="00E86066" w:rsidTr="006B435D">
        <w:tc>
          <w:tcPr>
            <w:tcW w:w="1702" w:type="dxa"/>
            <w:shd w:val="clear" w:color="auto" w:fill="F2F2F2" w:themeFill="background1" w:themeFillShade="F2"/>
          </w:tcPr>
          <w:p w:rsidR="00CB7640" w:rsidRPr="008B33CF" w:rsidRDefault="00CB7640" w:rsidP="007D47E9">
            <w:pPr>
              <w:rPr>
                <w:rFonts w:cs="Calibri"/>
                <w:b/>
                <w:szCs w:val="22"/>
              </w:rPr>
            </w:pPr>
            <w:r w:rsidRPr="008B33CF">
              <w:rPr>
                <w:rFonts w:cs="Calibri"/>
                <w:b/>
                <w:szCs w:val="22"/>
              </w:rPr>
              <w:t>Standards</w:t>
            </w:r>
          </w:p>
        </w:tc>
        <w:tc>
          <w:tcPr>
            <w:tcW w:w="8080" w:type="dxa"/>
            <w:shd w:val="clear" w:color="auto" w:fill="auto"/>
          </w:tcPr>
          <w:p w:rsidR="00CB7640" w:rsidRPr="008B33CF" w:rsidRDefault="00272336" w:rsidP="00A50101">
            <w:pPr>
              <w:rPr>
                <w:rFonts w:cs="Calibri"/>
                <w:szCs w:val="22"/>
              </w:rPr>
            </w:pPr>
            <w:hyperlink r:id="rId15" w:history="1">
              <w:r w:rsidR="00CB7640" w:rsidRPr="006218A3">
                <w:rPr>
                  <w:rStyle w:val="Hyperlink"/>
                  <w:rFonts w:cs="Calibri"/>
                  <w:szCs w:val="22"/>
                </w:rPr>
                <w:t>NZS 8134</w:t>
              </w:r>
              <w:r w:rsidR="00A50101" w:rsidRPr="006218A3">
                <w:rPr>
                  <w:rStyle w:val="Hyperlink"/>
                  <w:rFonts w:cs="Calibri"/>
                  <w:szCs w:val="22"/>
                </w:rPr>
                <w:t>: 2021 Ngā paerewa 6.1.</w:t>
              </w:r>
            </w:hyperlink>
          </w:p>
        </w:tc>
      </w:tr>
      <w:tr w:rsidR="00CB7640" w:rsidRPr="00E86066" w:rsidTr="006B435D">
        <w:tc>
          <w:tcPr>
            <w:tcW w:w="1702" w:type="dxa"/>
            <w:shd w:val="clear" w:color="auto" w:fill="F2F2F2" w:themeFill="background1" w:themeFillShade="F2"/>
          </w:tcPr>
          <w:p w:rsidR="00CB7640" w:rsidRPr="008B33CF" w:rsidRDefault="00CB7640" w:rsidP="007D47E9">
            <w:pPr>
              <w:rPr>
                <w:rFonts w:cs="Calibri"/>
                <w:b/>
                <w:szCs w:val="22"/>
              </w:rPr>
            </w:pPr>
            <w:r w:rsidRPr="008B33CF">
              <w:rPr>
                <w:rFonts w:cs="Calibri"/>
                <w:b/>
                <w:szCs w:val="22"/>
              </w:rPr>
              <w:t>Guidelines</w:t>
            </w:r>
            <w:r w:rsidR="00207A05">
              <w:rPr>
                <w:rFonts w:cs="Calibri"/>
                <w:b/>
                <w:szCs w:val="22"/>
              </w:rPr>
              <w:t xml:space="preserve"> and Information</w:t>
            </w:r>
          </w:p>
        </w:tc>
        <w:tc>
          <w:tcPr>
            <w:tcW w:w="8080" w:type="dxa"/>
            <w:shd w:val="clear" w:color="auto" w:fill="auto"/>
          </w:tcPr>
          <w:p w:rsidR="00F16112" w:rsidRDefault="00272336" w:rsidP="007D47E9">
            <w:pPr>
              <w:rPr>
                <w:rFonts w:asciiTheme="minorHAnsi" w:hAnsiTheme="minorHAnsi" w:cstheme="minorHAnsi"/>
                <w:szCs w:val="22"/>
              </w:rPr>
            </w:pPr>
            <w:hyperlink r:id="rId16" w:history="1">
              <w:r w:rsidR="00A50101" w:rsidRPr="00A50101">
                <w:rPr>
                  <w:rStyle w:val="Hyperlink"/>
                  <w:rFonts w:asciiTheme="minorHAnsi" w:hAnsiTheme="minorHAnsi" w:cstheme="minorHAnsi"/>
                  <w:szCs w:val="22"/>
                </w:rPr>
                <w:t>Cross-Cultural Resources</w:t>
              </w:r>
            </w:hyperlink>
            <w:r w:rsidR="00F16112" w:rsidRPr="00F16112">
              <w:rPr>
                <w:rFonts w:asciiTheme="minorHAnsi" w:hAnsiTheme="minorHAnsi" w:cstheme="minorHAnsi"/>
                <w:szCs w:val="22"/>
              </w:rPr>
              <w:t xml:space="preserve"> </w:t>
            </w:r>
          </w:p>
          <w:p w:rsidR="00287197" w:rsidRDefault="00272336" w:rsidP="007D47E9">
            <w:pPr>
              <w:rPr>
                <w:rFonts w:asciiTheme="minorHAnsi" w:hAnsiTheme="minorHAnsi" w:cstheme="minorHAnsi"/>
                <w:szCs w:val="22"/>
              </w:rPr>
            </w:pPr>
            <w:hyperlink r:id="rId17" w:history="1">
              <w:r w:rsidR="00287197" w:rsidRPr="00287197">
                <w:rPr>
                  <w:rStyle w:val="Hyperlink"/>
                  <w:rFonts w:asciiTheme="minorHAnsi" w:hAnsiTheme="minorHAnsi" w:cstheme="minorHAnsi"/>
                  <w:szCs w:val="22"/>
                </w:rPr>
                <w:t>Te Pou: Least restrictive practice</w:t>
              </w:r>
            </w:hyperlink>
          </w:p>
          <w:p w:rsidR="00C060F4" w:rsidRPr="008B33CF" w:rsidRDefault="00272336" w:rsidP="00F22A8B">
            <w:pPr>
              <w:rPr>
                <w:rFonts w:cs="Calibri"/>
                <w:szCs w:val="22"/>
              </w:rPr>
            </w:pPr>
            <w:hyperlink r:id="rId18" w:history="1">
              <w:r w:rsidR="00D96FD7" w:rsidRPr="00AF7C9F">
                <w:rPr>
                  <w:rStyle w:val="Hyperlink"/>
                  <w:rFonts w:cs="Calibri"/>
                  <w:szCs w:val="22"/>
                </w:rPr>
                <w:t>Sensory Modulation</w:t>
              </w:r>
            </w:hyperlink>
          </w:p>
        </w:tc>
      </w:tr>
      <w:tr w:rsidR="00B1637A" w:rsidRPr="00E86066" w:rsidTr="006B435D">
        <w:tc>
          <w:tcPr>
            <w:tcW w:w="1702" w:type="dxa"/>
            <w:shd w:val="clear" w:color="auto" w:fill="F2F2F2" w:themeFill="background1" w:themeFillShade="F2"/>
          </w:tcPr>
          <w:p w:rsidR="00B1637A" w:rsidRPr="008B33CF" w:rsidRDefault="00B1637A" w:rsidP="007D47E9">
            <w:pPr>
              <w:rPr>
                <w:rFonts w:cs="Calibri"/>
                <w:b/>
                <w:szCs w:val="22"/>
              </w:rPr>
            </w:pPr>
            <w:r>
              <w:rPr>
                <w:rFonts w:cs="Calibri"/>
                <w:b/>
                <w:szCs w:val="22"/>
              </w:rPr>
              <w:t>Training resources</w:t>
            </w:r>
          </w:p>
        </w:tc>
        <w:tc>
          <w:tcPr>
            <w:tcW w:w="8080" w:type="dxa"/>
            <w:shd w:val="clear" w:color="auto" w:fill="auto"/>
          </w:tcPr>
          <w:p w:rsidR="00B1637A" w:rsidRPr="008334A4" w:rsidRDefault="00272336" w:rsidP="00B1637A">
            <w:pPr>
              <w:pStyle w:val="NormalWeb"/>
              <w:spacing w:before="0" w:beforeAutospacing="0" w:after="0" w:afterAutospacing="0"/>
              <w:rPr>
                <w:rFonts w:cs="Calibri"/>
                <w:i/>
                <w:sz w:val="22"/>
                <w:szCs w:val="22"/>
              </w:rPr>
            </w:pPr>
            <w:hyperlink r:id="rId19" w:anchor="learn-techniques-to-help-us" w:tgtFrame="_blank" w:history="1">
              <w:r w:rsidR="00B1637A" w:rsidRPr="00B1637A">
                <w:rPr>
                  <w:rStyle w:val="Hyperlink"/>
                  <w:rFonts w:cs="Calibri"/>
                  <w:sz w:val="22"/>
                  <w:szCs w:val="22"/>
                </w:rPr>
                <w:t>De-escalation Techniques</w:t>
              </w:r>
            </w:hyperlink>
            <w:r w:rsidR="00B1637A" w:rsidRPr="00B1637A">
              <w:rPr>
                <w:rFonts w:cs="Calibri"/>
                <w:sz w:val="22"/>
                <w:szCs w:val="22"/>
              </w:rPr>
              <w:br/>
            </w:r>
            <w:r w:rsidR="008334A4">
              <w:rPr>
                <w:rFonts w:cs="Calibri"/>
                <w:sz w:val="22"/>
                <w:szCs w:val="22"/>
              </w:rPr>
              <w:t>‘</w:t>
            </w:r>
            <w:r w:rsidR="00B1637A" w:rsidRPr="008334A4">
              <w:rPr>
                <w:rFonts w:cs="Calibri"/>
                <w:i/>
                <w:sz w:val="22"/>
                <w:szCs w:val="22"/>
              </w:rPr>
              <w:t>This web page provides de-escalate techniques.</w:t>
            </w:r>
            <w:r w:rsidR="00B1637A" w:rsidRPr="008334A4">
              <w:rPr>
                <w:rFonts w:cs="Calibri"/>
                <w:i/>
                <w:sz w:val="22"/>
                <w:szCs w:val="22"/>
              </w:rPr>
              <w:br/>
              <w:t>Estimated reading time: 5 minutes</w:t>
            </w:r>
            <w:r w:rsidR="00B1637A" w:rsidRPr="008334A4">
              <w:rPr>
                <w:rFonts w:cs="Calibri"/>
                <w:i/>
                <w:sz w:val="22"/>
                <w:szCs w:val="22"/>
              </w:rPr>
              <w:br/>
              <w:t>Produced by: Department of Health – Tasmania</w:t>
            </w:r>
            <w:r w:rsidR="008334A4" w:rsidRPr="008334A4">
              <w:rPr>
                <w:rFonts w:cs="Calibri"/>
                <w:i/>
                <w:sz w:val="22"/>
                <w:szCs w:val="22"/>
              </w:rPr>
              <w:t>‘</w:t>
            </w:r>
          </w:p>
          <w:p w:rsidR="00B1637A" w:rsidRDefault="00272336" w:rsidP="00B1637A">
            <w:pPr>
              <w:pStyle w:val="NormalWeb"/>
              <w:spacing w:before="0" w:beforeAutospacing="0" w:after="0" w:afterAutospacing="0"/>
              <w:rPr>
                <w:rStyle w:val="Hyperlink"/>
                <w:rFonts w:asciiTheme="minorHAnsi" w:hAnsiTheme="minorHAnsi" w:cstheme="minorHAnsi"/>
                <w:sz w:val="22"/>
                <w:szCs w:val="22"/>
              </w:rPr>
            </w:pPr>
            <w:hyperlink r:id="rId20" w:tgtFrame="_blank" w:history="1">
              <w:r w:rsidR="00B1637A" w:rsidRPr="00B1637A">
                <w:rPr>
                  <w:rStyle w:val="Hyperlink"/>
                  <w:rFonts w:cs="Calibri"/>
                  <w:sz w:val="22"/>
                  <w:szCs w:val="22"/>
                </w:rPr>
                <w:t>Facilitate responsible behaviour</w:t>
              </w:r>
            </w:hyperlink>
            <w:r w:rsidR="00B1637A" w:rsidRPr="00B1637A">
              <w:rPr>
                <w:rFonts w:cs="Calibri"/>
                <w:sz w:val="22"/>
                <w:szCs w:val="22"/>
              </w:rPr>
              <w:br/>
            </w:r>
            <w:r w:rsidR="008334A4">
              <w:rPr>
                <w:rFonts w:cs="Calibri"/>
                <w:sz w:val="22"/>
                <w:szCs w:val="22"/>
              </w:rPr>
              <w:t>‘</w:t>
            </w:r>
            <w:r w:rsidR="00B1637A" w:rsidRPr="008334A4">
              <w:rPr>
                <w:rFonts w:cs="Calibri"/>
                <w:i/>
                <w:sz w:val="22"/>
                <w:szCs w:val="22"/>
              </w:rPr>
              <w:t>This is a free online eLearning module which covers monitoring of client behaviour, communication strategies to de-escalate conflict and managing conflict. In order to access this training, you will need to set up an account and search 'facilitate responsible behaviour' in the search bar.</w:t>
            </w:r>
            <w:r w:rsidR="00B1637A" w:rsidRPr="008334A4">
              <w:rPr>
                <w:rFonts w:cs="Calibri"/>
                <w:i/>
                <w:sz w:val="22"/>
                <w:szCs w:val="22"/>
              </w:rPr>
              <w:br/>
              <w:t>Type: eLearning</w:t>
            </w:r>
            <w:r w:rsidR="00B1637A" w:rsidRPr="008334A4">
              <w:rPr>
                <w:rFonts w:cs="Calibri"/>
                <w:i/>
                <w:sz w:val="22"/>
                <w:szCs w:val="22"/>
              </w:rPr>
              <w:br/>
              <w:t xml:space="preserve">Produced by: QCOSS Community Door </w:t>
            </w:r>
            <w:r w:rsidR="008334A4" w:rsidRPr="008334A4">
              <w:rPr>
                <w:rFonts w:cs="Calibri"/>
                <w:i/>
                <w:sz w:val="22"/>
                <w:szCs w:val="22"/>
              </w:rPr>
              <w:t>‘</w:t>
            </w:r>
          </w:p>
        </w:tc>
      </w:tr>
      <w:tr w:rsidR="00CB7640" w:rsidRPr="00E86066" w:rsidTr="006B435D">
        <w:tc>
          <w:tcPr>
            <w:tcW w:w="1702" w:type="dxa"/>
            <w:shd w:val="clear" w:color="auto" w:fill="F2F2F2" w:themeFill="background1" w:themeFillShade="F2"/>
          </w:tcPr>
          <w:p w:rsidR="00CB7640" w:rsidRPr="00925890" w:rsidRDefault="00F22A8B" w:rsidP="007D47E9">
            <w:pPr>
              <w:rPr>
                <w:rFonts w:cs="Calibri"/>
                <w:b/>
                <w:szCs w:val="22"/>
              </w:rPr>
            </w:pPr>
            <w:r>
              <w:rPr>
                <w:rFonts w:cs="Calibri"/>
                <w:b/>
                <w:szCs w:val="22"/>
              </w:rPr>
              <w:t xml:space="preserve">Related </w:t>
            </w:r>
            <w:r w:rsidR="00925890" w:rsidRPr="00925890">
              <w:rPr>
                <w:rFonts w:cs="Calibri"/>
                <w:b/>
                <w:szCs w:val="22"/>
              </w:rPr>
              <w:t xml:space="preserve">Organisational </w:t>
            </w:r>
            <w:r w:rsidR="00CB7640" w:rsidRPr="00925890">
              <w:rPr>
                <w:rFonts w:cs="Calibri"/>
                <w:b/>
                <w:szCs w:val="22"/>
              </w:rPr>
              <w:t>Documents</w:t>
            </w:r>
          </w:p>
        </w:tc>
        <w:tc>
          <w:tcPr>
            <w:tcW w:w="8080" w:type="dxa"/>
            <w:shd w:val="clear" w:color="auto" w:fill="auto"/>
          </w:tcPr>
          <w:p w:rsidR="00F22A8B" w:rsidRDefault="00F22A8B" w:rsidP="007D47E9">
            <w:pPr>
              <w:rPr>
                <w:rFonts w:cs="Calibri"/>
                <w:szCs w:val="22"/>
              </w:rPr>
            </w:pPr>
            <w:r>
              <w:rPr>
                <w:rFonts w:cs="Calibri"/>
                <w:szCs w:val="22"/>
              </w:rPr>
              <w:t>Adverse Events</w:t>
            </w:r>
          </w:p>
          <w:p w:rsidR="008334A4" w:rsidRDefault="00F22A8B" w:rsidP="007D47E9">
            <w:pPr>
              <w:rPr>
                <w:rFonts w:cs="Calibri"/>
                <w:szCs w:val="22"/>
              </w:rPr>
            </w:pPr>
            <w:r>
              <w:rPr>
                <w:rFonts w:cs="Calibri"/>
                <w:szCs w:val="22"/>
              </w:rPr>
              <w:t xml:space="preserve">Hunga Mahi Me Te Hanganga – Workforce and Structure </w:t>
            </w:r>
          </w:p>
          <w:p w:rsidR="00F22A8B" w:rsidRDefault="00F22A8B" w:rsidP="007D47E9">
            <w:pPr>
              <w:rPr>
                <w:rFonts w:cs="Calibri"/>
                <w:szCs w:val="22"/>
              </w:rPr>
            </w:pPr>
            <w:r>
              <w:rPr>
                <w:rFonts w:cs="Calibri"/>
                <w:szCs w:val="22"/>
              </w:rPr>
              <w:t>Mana Whakahaere – Governance.</w:t>
            </w:r>
          </w:p>
          <w:p w:rsidR="00B64566" w:rsidRPr="008B33CF" w:rsidRDefault="00F22A8B" w:rsidP="007D47E9">
            <w:pPr>
              <w:rPr>
                <w:rFonts w:cs="Calibri"/>
                <w:szCs w:val="22"/>
              </w:rPr>
            </w:pPr>
            <w:r>
              <w:rPr>
                <w:rFonts w:cs="Calibri"/>
                <w:szCs w:val="22"/>
              </w:rPr>
              <w:t>Ō Tātou Motika – Our Rights</w:t>
            </w:r>
          </w:p>
        </w:tc>
      </w:tr>
      <w:tr w:rsidR="00CB7640" w:rsidRPr="00E86066" w:rsidTr="006B435D">
        <w:trPr>
          <w:trHeight w:val="279"/>
        </w:trPr>
        <w:tc>
          <w:tcPr>
            <w:tcW w:w="9782" w:type="dxa"/>
            <w:gridSpan w:val="2"/>
            <w:shd w:val="clear" w:color="auto" w:fill="F2F2F2" w:themeFill="background1" w:themeFillShade="F2"/>
          </w:tcPr>
          <w:p w:rsidR="00CB7640" w:rsidRPr="008B33CF" w:rsidRDefault="00CB7640" w:rsidP="00925890">
            <w:pPr>
              <w:rPr>
                <w:rFonts w:cs="Calibri"/>
                <w:b/>
                <w:szCs w:val="22"/>
              </w:rPr>
            </w:pPr>
            <w:r w:rsidRPr="008B33CF">
              <w:rPr>
                <w:rFonts w:cs="Calibri"/>
                <w:b/>
                <w:szCs w:val="22"/>
              </w:rPr>
              <w:t>Definitions and Practices</w:t>
            </w:r>
          </w:p>
        </w:tc>
      </w:tr>
      <w:tr w:rsidR="00914F8D" w:rsidRPr="00E86066" w:rsidTr="006B435D">
        <w:trPr>
          <w:trHeight w:val="279"/>
        </w:trPr>
        <w:tc>
          <w:tcPr>
            <w:tcW w:w="1702" w:type="dxa"/>
            <w:shd w:val="clear" w:color="auto" w:fill="F2F2F2" w:themeFill="background1" w:themeFillShade="F2"/>
          </w:tcPr>
          <w:p w:rsidR="00914F8D" w:rsidRPr="00914F8D" w:rsidRDefault="00914F8D" w:rsidP="007D47E9">
            <w:pPr>
              <w:rPr>
                <w:rStyle w:val="Hyperlink"/>
                <w:rFonts w:cs="Calibri"/>
                <w:b/>
                <w:szCs w:val="22"/>
                <w:u w:val="none"/>
              </w:rPr>
            </w:pPr>
            <w:r w:rsidRPr="00914F8D">
              <w:rPr>
                <w:rStyle w:val="Hyperlink"/>
                <w:rFonts w:cs="Calibri"/>
                <w:b/>
                <w:color w:val="auto"/>
                <w:szCs w:val="22"/>
                <w:u w:val="none"/>
              </w:rPr>
              <w:t>De-escalation</w:t>
            </w:r>
          </w:p>
        </w:tc>
        <w:tc>
          <w:tcPr>
            <w:tcW w:w="8080" w:type="dxa"/>
            <w:shd w:val="clear" w:color="auto" w:fill="auto"/>
          </w:tcPr>
          <w:p w:rsidR="00914F8D" w:rsidRPr="008B33CF" w:rsidRDefault="00914F8D" w:rsidP="008B33CF">
            <w:pPr>
              <w:jc w:val="both"/>
              <w:rPr>
                <w:rFonts w:cs="Calibri"/>
                <w:szCs w:val="22"/>
              </w:rPr>
            </w:pPr>
            <w:r>
              <w:rPr>
                <w:rFonts w:cs="Calibri"/>
                <w:szCs w:val="22"/>
              </w:rPr>
              <w:t>A set of complex interactive processes in which a highly aroused person is redirected from an unsafe course of action towards a supported and calmer emotional state. This usually occurs through timely, appropriate, and effective interventions and is achieved by service providers using skills and practical alternatives. (Ngā paerewa).</w:t>
            </w:r>
          </w:p>
        </w:tc>
      </w:tr>
      <w:tr w:rsidR="00FB665E" w:rsidRPr="00E86066" w:rsidTr="006B435D">
        <w:trPr>
          <w:trHeight w:val="279"/>
        </w:trPr>
        <w:tc>
          <w:tcPr>
            <w:tcW w:w="1702" w:type="dxa"/>
            <w:shd w:val="clear" w:color="auto" w:fill="F2F2F2" w:themeFill="background1" w:themeFillShade="F2"/>
          </w:tcPr>
          <w:p w:rsidR="00FB665E" w:rsidRPr="00914F8D" w:rsidRDefault="00FB665E" w:rsidP="007D47E9">
            <w:pPr>
              <w:rPr>
                <w:rStyle w:val="Hyperlink"/>
                <w:rFonts w:cs="Calibri"/>
                <w:b/>
                <w:color w:val="auto"/>
                <w:szCs w:val="22"/>
                <w:u w:val="none"/>
              </w:rPr>
            </w:pPr>
            <w:r>
              <w:rPr>
                <w:rStyle w:val="Hyperlink"/>
                <w:rFonts w:cs="Calibri"/>
                <w:b/>
                <w:color w:val="auto"/>
                <w:szCs w:val="22"/>
                <w:u w:val="none"/>
              </w:rPr>
              <w:t>Least restrictive practices</w:t>
            </w:r>
          </w:p>
        </w:tc>
        <w:tc>
          <w:tcPr>
            <w:tcW w:w="8080" w:type="dxa"/>
            <w:shd w:val="clear" w:color="auto" w:fill="auto"/>
          </w:tcPr>
          <w:p w:rsidR="00FB665E" w:rsidRDefault="00FB665E" w:rsidP="00F36567">
            <w:pPr>
              <w:jc w:val="both"/>
              <w:rPr>
                <w:rFonts w:cs="Calibri"/>
                <w:szCs w:val="22"/>
              </w:rPr>
            </w:pPr>
            <w:r>
              <w:rPr>
                <w:rFonts w:cs="Calibri"/>
                <w:szCs w:val="22"/>
              </w:rPr>
              <w:t>Practices that enhance tāngata whai ora/tāngata whaikaha autonomy and respect their rights, individual</w:t>
            </w:r>
            <w:r w:rsidR="00F659F6">
              <w:rPr>
                <w:rFonts w:cs="Calibri"/>
                <w:szCs w:val="22"/>
              </w:rPr>
              <w:t xml:space="preserve"> ‘</w:t>
            </w:r>
            <w:r w:rsidR="00F659F6" w:rsidRPr="00F659F6">
              <w:rPr>
                <w:rFonts w:cs="Calibri"/>
                <w:i/>
                <w:szCs w:val="22"/>
              </w:rPr>
              <w:t>or collective</w:t>
            </w:r>
            <w:r w:rsidR="00F659F6">
              <w:rPr>
                <w:rFonts w:cs="Calibri"/>
                <w:i/>
                <w:szCs w:val="22"/>
              </w:rPr>
              <w:t>’</w:t>
            </w:r>
            <w:r w:rsidR="00F659F6" w:rsidRPr="00F659F6">
              <w:rPr>
                <w:rFonts w:cs="Calibri"/>
                <w:i/>
                <w:szCs w:val="22"/>
              </w:rPr>
              <w:t xml:space="preserve"> </w:t>
            </w:r>
            <w:r w:rsidR="00F659F6" w:rsidRPr="00F659F6">
              <w:rPr>
                <w:rFonts w:cs="Calibri"/>
                <w:szCs w:val="22"/>
              </w:rPr>
              <w:t>worth</w:t>
            </w:r>
            <w:r w:rsidR="00F659F6">
              <w:rPr>
                <w:rFonts w:cs="Calibri"/>
                <w:i/>
                <w:szCs w:val="22"/>
              </w:rPr>
              <w:t xml:space="preserve"> </w:t>
            </w:r>
            <w:r w:rsidR="00F659F6" w:rsidRPr="00F659F6">
              <w:rPr>
                <w:rFonts w:cs="Calibri"/>
                <w:szCs w:val="22"/>
              </w:rPr>
              <w:t>(</w:t>
            </w:r>
            <w:r w:rsidR="00F659F6">
              <w:rPr>
                <w:rFonts w:cs="Calibri"/>
                <w:szCs w:val="22"/>
              </w:rPr>
              <w:t>added by GSHarnisch)</w:t>
            </w:r>
            <w:r>
              <w:rPr>
                <w:rFonts w:cs="Calibri"/>
                <w:szCs w:val="22"/>
              </w:rPr>
              <w:t>, dignity and privacy. Restrictive practices m</w:t>
            </w:r>
            <w:r w:rsidR="00F36567">
              <w:rPr>
                <w:rFonts w:cs="Calibri"/>
                <w:szCs w:val="22"/>
              </w:rPr>
              <w:t>a</w:t>
            </w:r>
            <w:r>
              <w:rPr>
                <w:rFonts w:cs="Calibri"/>
                <w:szCs w:val="22"/>
              </w:rPr>
              <w:t>ke someone do something they do not want to do or stop someone doing something they want to do.</w:t>
            </w:r>
            <w:r w:rsidR="00F36567">
              <w:rPr>
                <w:rFonts w:cs="Calibri"/>
                <w:szCs w:val="22"/>
              </w:rPr>
              <w:t xml:space="preserve"> (Ngā paerewa).</w:t>
            </w:r>
          </w:p>
        </w:tc>
      </w:tr>
    </w:tbl>
    <w:p w:rsidR="00990B05" w:rsidRDefault="00990B05"/>
    <w:p w:rsidR="00A02A88" w:rsidRDefault="00A02A88"/>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080"/>
      </w:tblGrid>
      <w:tr w:rsidR="00CB7640" w:rsidRPr="00E86066" w:rsidTr="006B435D">
        <w:trPr>
          <w:trHeight w:val="279"/>
        </w:trPr>
        <w:tc>
          <w:tcPr>
            <w:tcW w:w="1702" w:type="dxa"/>
            <w:shd w:val="clear" w:color="auto" w:fill="F2F2F2" w:themeFill="background1" w:themeFillShade="F2"/>
          </w:tcPr>
          <w:p w:rsidR="00CB7640" w:rsidRPr="00F36567" w:rsidRDefault="00CB7640" w:rsidP="007D47E9">
            <w:pPr>
              <w:rPr>
                <w:rFonts w:cs="Calibri"/>
                <w:b/>
                <w:color w:val="auto"/>
                <w:szCs w:val="22"/>
              </w:rPr>
            </w:pPr>
            <w:r w:rsidRPr="00F36567">
              <w:rPr>
                <w:rStyle w:val="Hyperlink"/>
                <w:rFonts w:cs="Calibri"/>
                <w:b/>
                <w:color w:val="auto"/>
                <w:szCs w:val="22"/>
                <w:u w:val="none"/>
              </w:rPr>
              <w:lastRenderedPageBreak/>
              <w:t>Restraint</w:t>
            </w:r>
            <w:r w:rsidRPr="00F36567">
              <w:rPr>
                <w:rFonts w:cs="Calibri"/>
                <w:b/>
                <w:color w:val="auto"/>
                <w:szCs w:val="22"/>
              </w:rPr>
              <w:t xml:space="preserve"> </w:t>
            </w:r>
          </w:p>
        </w:tc>
        <w:tc>
          <w:tcPr>
            <w:tcW w:w="8080" w:type="dxa"/>
            <w:shd w:val="clear" w:color="auto" w:fill="auto"/>
          </w:tcPr>
          <w:p w:rsidR="00CB7640" w:rsidRPr="008B33CF" w:rsidRDefault="00F36567" w:rsidP="00F36567">
            <w:pPr>
              <w:jc w:val="both"/>
              <w:rPr>
                <w:rFonts w:cs="Calibri"/>
                <w:szCs w:val="22"/>
              </w:rPr>
            </w:pPr>
            <w:r>
              <w:rPr>
                <w:rFonts w:cs="Calibri"/>
                <w:szCs w:val="22"/>
              </w:rPr>
              <w:t xml:space="preserve">The use of any intervention by a service provider that limits a person’s normal freedom of movement. Where restraint is consented to by a third party, it is always restraint. </w:t>
            </w:r>
            <w:r w:rsidRPr="00F36567">
              <w:rPr>
                <w:rFonts w:cs="Calibri"/>
                <w:szCs w:val="22"/>
              </w:rPr>
              <w:t>(Ngā paerewa).</w:t>
            </w:r>
          </w:p>
        </w:tc>
      </w:tr>
      <w:tr w:rsidR="00324991" w:rsidRPr="00E86066" w:rsidTr="006B435D">
        <w:trPr>
          <w:trHeight w:val="279"/>
        </w:trPr>
        <w:tc>
          <w:tcPr>
            <w:tcW w:w="1702" w:type="dxa"/>
            <w:shd w:val="clear" w:color="auto" w:fill="F2F2F2" w:themeFill="background1" w:themeFillShade="F2"/>
          </w:tcPr>
          <w:p w:rsidR="00324991" w:rsidRPr="00F36567" w:rsidRDefault="00324991" w:rsidP="007D47E9">
            <w:pPr>
              <w:rPr>
                <w:rStyle w:val="Hyperlink"/>
                <w:rFonts w:cs="Calibri"/>
                <w:b/>
                <w:color w:val="auto"/>
                <w:szCs w:val="22"/>
                <w:u w:val="none"/>
              </w:rPr>
            </w:pPr>
            <w:r>
              <w:rPr>
                <w:rStyle w:val="Hyperlink"/>
                <w:rFonts w:cs="Calibri"/>
                <w:b/>
                <w:color w:val="auto"/>
                <w:szCs w:val="22"/>
                <w:u w:val="none"/>
              </w:rPr>
              <w:t>Restraint elimination</w:t>
            </w:r>
          </w:p>
        </w:tc>
        <w:tc>
          <w:tcPr>
            <w:tcW w:w="8080" w:type="dxa"/>
            <w:shd w:val="clear" w:color="auto" w:fill="auto"/>
          </w:tcPr>
          <w:p w:rsidR="00324991" w:rsidRDefault="00EF30AF" w:rsidP="00F36567">
            <w:pPr>
              <w:jc w:val="both"/>
              <w:rPr>
                <w:rFonts w:cs="Calibri"/>
                <w:szCs w:val="22"/>
              </w:rPr>
            </w:pPr>
            <w:r>
              <w:rPr>
                <w:rFonts w:cs="Calibri"/>
                <w:szCs w:val="22"/>
              </w:rPr>
              <w:t xml:space="preserve">Evidence of good assessment and planning processes that provide early identification of a possible need for restraint and therefore assist in planning interventions that best reduce the likelihood of restraint being required. </w:t>
            </w:r>
            <w:r w:rsidRPr="00EF30AF">
              <w:rPr>
                <w:rFonts w:cs="Calibri"/>
                <w:szCs w:val="22"/>
              </w:rPr>
              <w:t>(Ngā paerewa).</w:t>
            </w:r>
          </w:p>
        </w:tc>
      </w:tr>
      <w:tr w:rsidR="009F1FF3" w:rsidRPr="00E86066" w:rsidTr="003247C9">
        <w:trPr>
          <w:trHeight w:val="279"/>
        </w:trPr>
        <w:tc>
          <w:tcPr>
            <w:tcW w:w="9782" w:type="dxa"/>
            <w:gridSpan w:val="2"/>
            <w:shd w:val="clear" w:color="auto" w:fill="F2F2F2" w:themeFill="background1" w:themeFillShade="F2"/>
          </w:tcPr>
          <w:p w:rsidR="009F1FF3" w:rsidRDefault="009F1FF3" w:rsidP="00F36567">
            <w:pPr>
              <w:jc w:val="both"/>
              <w:rPr>
                <w:rFonts w:cs="Calibri"/>
                <w:b/>
                <w:szCs w:val="22"/>
              </w:rPr>
            </w:pPr>
            <w:r w:rsidRPr="009F1FF3">
              <w:rPr>
                <w:rFonts w:cs="Calibri"/>
                <w:b/>
                <w:szCs w:val="22"/>
              </w:rPr>
              <w:t>Responsibilities</w:t>
            </w:r>
          </w:p>
          <w:p w:rsidR="009F1FF3" w:rsidRPr="009F1FF3" w:rsidRDefault="009F1FF3" w:rsidP="00F36567">
            <w:pPr>
              <w:jc w:val="both"/>
              <w:rPr>
                <w:rFonts w:cs="Calibri"/>
                <w:b/>
                <w:szCs w:val="22"/>
              </w:rPr>
            </w:pPr>
          </w:p>
        </w:tc>
      </w:tr>
    </w:tbl>
    <w:tbl>
      <w:tblPr>
        <w:tblStyle w:val="TableGrid"/>
        <w:tblW w:w="9782" w:type="dxa"/>
        <w:tblInd w:w="-289" w:type="dxa"/>
        <w:tblLook w:val="04A0" w:firstRow="1" w:lastRow="0" w:firstColumn="1" w:lastColumn="0" w:noHBand="0" w:noVBand="1"/>
      </w:tblPr>
      <w:tblGrid>
        <w:gridCol w:w="1702"/>
        <w:gridCol w:w="8080"/>
      </w:tblGrid>
      <w:tr w:rsidR="009F1FF3" w:rsidTr="00AF1606">
        <w:tc>
          <w:tcPr>
            <w:tcW w:w="1702" w:type="dxa"/>
          </w:tcPr>
          <w:p w:rsidR="009F1FF3" w:rsidRPr="00AF1606" w:rsidRDefault="00AF1606">
            <w:pPr>
              <w:rPr>
                <w:rFonts w:cs="Calibri"/>
                <w:b/>
                <w:szCs w:val="22"/>
              </w:rPr>
            </w:pPr>
            <w:r w:rsidRPr="00AF1606">
              <w:rPr>
                <w:rFonts w:cs="Calibri"/>
                <w:b/>
                <w:szCs w:val="22"/>
              </w:rPr>
              <w:t>Board members/</w:t>
            </w:r>
          </w:p>
          <w:p w:rsidR="00AF1606" w:rsidRPr="00AF1606" w:rsidRDefault="00AF1606">
            <w:pPr>
              <w:rPr>
                <w:rFonts w:cs="Calibri"/>
                <w:b/>
                <w:szCs w:val="22"/>
              </w:rPr>
            </w:pPr>
            <w:r w:rsidRPr="00AF1606">
              <w:rPr>
                <w:rFonts w:cs="Calibri"/>
                <w:b/>
                <w:szCs w:val="22"/>
              </w:rPr>
              <w:t xml:space="preserve">Director </w:t>
            </w:r>
          </w:p>
        </w:tc>
        <w:tc>
          <w:tcPr>
            <w:tcW w:w="8080" w:type="dxa"/>
          </w:tcPr>
          <w:p w:rsidR="009F1FF3" w:rsidRDefault="00AF1606" w:rsidP="00AF1606">
            <w:pPr>
              <w:pStyle w:val="ListParagraph"/>
              <w:numPr>
                <w:ilvl w:val="0"/>
                <w:numId w:val="19"/>
              </w:numPr>
            </w:pPr>
            <w:r>
              <w:t xml:space="preserve">Ensure the budget includes </w:t>
            </w:r>
            <w:r w:rsidR="009A612C">
              <w:t xml:space="preserve">provision of </w:t>
            </w:r>
            <w:r>
              <w:t>training and consultations to maintain a restraint free environment.</w:t>
            </w:r>
          </w:p>
          <w:p w:rsidR="00AF1606" w:rsidRDefault="00AF1606" w:rsidP="00AF1606">
            <w:pPr>
              <w:pStyle w:val="ListParagraph"/>
              <w:numPr>
                <w:ilvl w:val="0"/>
                <w:numId w:val="19"/>
              </w:numPr>
            </w:pPr>
            <w:r>
              <w:t xml:space="preserve">Review any patterns of </w:t>
            </w:r>
            <w:r w:rsidR="009A612C">
              <w:t>restraint episodes and make</w:t>
            </w:r>
            <w:r>
              <w:t xml:space="preserve"> sure that systems are put in place to eliminate restraints.</w:t>
            </w:r>
          </w:p>
          <w:p w:rsidR="00AF1606" w:rsidRDefault="00AF1606" w:rsidP="00AF1606">
            <w:pPr>
              <w:pStyle w:val="ListParagraph"/>
              <w:numPr>
                <w:ilvl w:val="0"/>
                <w:numId w:val="19"/>
              </w:numPr>
            </w:pPr>
            <w:r>
              <w:t>Ensure that representatives with lived experience participate in any reviews related to restraint and our restraint-free practices.</w:t>
            </w:r>
          </w:p>
          <w:p w:rsidR="00AF1606" w:rsidRPr="00AF1606" w:rsidRDefault="00AF1606" w:rsidP="00AF1606">
            <w:pPr>
              <w:pStyle w:val="ListParagraph"/>
              <w:numPr>
                <w:ilvl w:val="0"/>
                <w:numId w:val="19"/>
              </w:numPr>
            </w:pPr>
            <w:r>
              <w:t>Ensure that M</w:t>
            </w:r>
            <w:r>
              <w:rPr>
                <w:rFonts w:cs="Calibri"/>
              </w:rPr>
              <w:t>ā</w:t>
            </w:r>
            <w:r>
              <w:t>ori representatives participate in any reviews related to restraint and our restraint-free practices.</w:t>
            </w:r>
          </w:p>
        </w:tc>
      </w:tr>
      <w:tr w:rsidR="009F1FF3" w:rsidTr="00AF1606">
        <w:tc>
          <w:tcPr>
            <w:tcW w:w="1702" w:type="dxa"/>
          </w:tcPr>
          <w:p w:rsidR="009F1FF3" w:rsidRPr="00241268" w:rsidRDefault="00241268">
            <w:pPr>
              <w:rPr>
                <w:b/>
              </w:rPr>
            </w:pPr>
            <w:r w:rsidRPr="00241268">
              <w:rPr>
                <w:b/>
              </w:rPr>
              <w:t>Service delivery lead</w:t>
            </w:r>
          </w:p>
        </w:tc>
        <w:tc>
          <w:tcPr>
            <w:tcW w:w="8080" w:type="dxa"/>
          </w:tcPr>
          <w:p w:rsidR="009F1FF3" w:rsidRDefault="00241268" w:rsidP="00241268">
            <w:pPr>
              <w:pStyle w:val="ListParagraph"/>
              <w:numPr>
                <w:ilvl w:val="0"/>
                <w:numId w:val="20"/>
              </w:numPr>
            </w:pPr>
            <w:r>
              <w:t>Ensure that the processes in our Adverse Event policy are implemented in regards to near misses and restraints under the Crimes Act.</w:t>
            </w:r>
          </w:p>
          <w:p w:rsidR="00241268" w:rsidRDefault="00241268" w:rsidP="00241268">
            <w:pPr>
              <w:pStyle w:val="ListParagraph"/>
              <w:numPr>
                <w:ilvl w:val="0"/>
                <w:numId w:val="20"/>
              </w:numPr>
            </w:pPr>
            <w:r>
              <w:t>Ensure that the least restrictive practices are routine in our services.</w:t>
            </w:r>
          </w:p>
          <w:p w:rsidR="00241268" w:rsidRDefault="00241268" w:rsidP="009A612C">
            <w:pPr>
              <w:pStyle w:val="ListParagraph"/>
              <w:numPr>
                <w:ilvl w:val="0"/>
                <w:numId w:val="20"/>
              </w:numPr>
            </w:pPr>
            <w:r>
              <w:t>Ensure that legislati</w:t>
            </w:r>
            <w:r w:rsidR="009A612C">
              <w:t>ve requirements and reporting systems are implemented.</w:t>
            </w:r>
          </w:p>
          <w:p w:rsidR="00783C35" w:rsidRDefault="00783C35" w:rsidP="009A612C">
            <w:pPr>
              <w:pStyle w:val="ListParagraph"/>
              <w:numPr>
                <w:ilvl w:val="0"/>
                <w:numId w:val="20"/>
              </w:numPr>
            </w:pPr>
            <w:r>
              <w:t>Monitors the implementation of this policy and procedure.</w:t>
            </w:r>
          </w:p>
          <w:p w:rsidR="00783C35" w:rsidRDefault="00783C35" w:rsidP="004B012E">
            <w:pPr>
              <w:pStyle w:val="ListParagraph"/>
              <w:numPr>
                <w:ilvl w:val="0"/>
                <w:numId w:val="20"/>
              </w:numPr>
            </w:pPr>
            <w:r>
              <w:t>Provides our Board members/Directors with a six monthly report on near-miss restraints and restraints that includes trends</w:t>
            </w:r>
            <w:r w:rsidR="004B012E">
              <w:t xml:space="preserve">, </w:t>
            </w:r>
            <w:r>
              <w:t>analysis</w:t>
            </w:r>
            <w:r w:rsidR="004B012E">
              <w:t xml:space="preserve"> and improvement measures</w:t>
            </w:r>
            <w:r>
              <w:t>.</w:t>
            </w:r>
          </w:p>
        </w:tc>
      </w:tr>
      <w:tr w:rsidR="0092727E" w:rsidTr="00AF1606">
        <w:tc>
          <w:tcPr>
            <w:tcW w:w="1702" w:type="dxa"/>
          </w:tcPr>
          <w:p w:rsidR="0092727E" w:rsidRPr="00241268" w:rsidRDefault="0092727E">
            <w:pPr>
              <w:rPr>
                <w:b/>
              </w:rPr>
            </w:pPr>
            <w:r>
              <w:rPr>
                <w:b/>
              </w:rPr>
              <w:t>Health care workers</w:t>
            </w:r>
          </w:p>
        </w:tc>
        <w:tc>
          <w:tcPr>
            <w:tcW w:w="8080" w:type="dxa"/>
          </w:tcPr>
          <w:p w:rsidR="0092727E" w:rsidRDefault="0092727E" w:rsidP="00241268">
            <w:pPr>
              <w:pStyle w:val="ListParagraph"/>
              <w:numPr>
                <w:ilvl w:val="0"/>
                <w:numId w:val="20"/>
              </w:numPr>
            </w:pPr>
            <w:r>
              <w:t>Attend de-escalation training.</w:t>
            </w:r>
          </w:p>
          <w:p w:rsidR="0092727E" w:rsidRDefault="0092727E" w:rsidP="00241268">
            <w:pPr>
              <w:pStyle w:val="ListParagraph"/>
              <w:numPr>
                <w:ilvl w:val="0"/>
                <w:numId w:val="20"/>
              </w:numPr>
            </w:pPr>
            <w:r>
              <w:t>Provide the least restrictive practices and environments.</w:t>
            </w:r>
          </w:p>
          <w:p w:rsidR="0092727E" w:rsidRDefault="0092727E" w:rsidP="0092727E">
            <w:pPr>
              <w:pStyle w:val="ListParagraph"/>
              <w:numPr>
                <w:ilvl w:val="0"/>
                <w:numId w:val="20"/>
              </w:numPr>
            </w:pPr>
            <w:r>
              <w:t xml:space="preserve">Report all </w:t>
            </w:r>
            <w:r w:rsidR="00783C35">
              <w:t xml:space="preserve">near-miss restraint and restraint episodes </w:t>
            </w:r>
            <w:r>
              <w:t>via our adverse event system.</w:t>
            </w:r>
          </w:p>
          <w:p w:rsidR="0092727E" w:rsidRDefault="0092727E" w:rsidP="0092727E">
            <w:pPr>
              <w:pStyle w:val="ListParagraph"/>
              <w:numPr>
                <w:ilvl w:val="0"/>
                <w:numId w:val="20"/>
              </w:numPr>
            </w:pPr>
            <w:r>
              <w:t>Adhere to this policy and procedure.</w:t>
            </w:r>
          </w:p>
        </w:tc>
      </w:tr>
    </w:tbl>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87AC4" w:rsidRDefault="00C87AC4"/>
    <w:p w:rsidR="00CF6775" w:rsidRDefault="00CF6775"/>
    <w:p w:rsidR="00CF6775" w:rsidRDefault="00CF6775"/>
    <w:tbl>
      <w:tblPr>
        <w:tblStyle w:val="TableGrid"/>
        <w:tblW w:w="9782" w:type="dxa"/>
        <w:tblInd w:w="-289" w:type="dxa"/>
        <w:tblLook w:val="04A0" w:firstRow="1" w:lastRow="0" w:firstColumn="1" w:lastColumn="0" w:noHBand="0" w:noVBand="1"/>
      </w:tblPr>
      <w:tblGrid>
        <w:gridCol w:w="3119"/>
        <w:gridCol w:w="3544"/>
        <w:gridCol w:w="3119"/>
      </w:tblGrid>
      <w:tr w:rsidR="00B62D76" w:rsidTr="00B62D76">
        <w:tc>
          <w:tcPr>
            <w:tcW w:w="9782" w:type="dxa"/>
            <w:gridSpan w:val="3"/>
            <w:shd w:val="clear" w:color="auto" w:fill="F2F2F2" w:themeFill="background1" w:themeFillShade="F2"/>
          </w:tcPr>
          <w:p w:rsidR="00B62D76" w:rsidRDefault="006463C2" w:rsidP="00B62D76">
            <w:pPr>
              <w:jc w:val="center"/>
              <w:rPr>
                <w:rFonts w:cs="Calibri"/>
                <w:b/>
                <w:szCs w:val="22"/>
              </w:rPr>
            </w:pPr>
            <w:r>
              <w:rPr>
                <w:rFonts w:cs="Calibri"/>
                <w:b/>
                <w:szCs w:val="22"/>
              </w:rPr>
              <w:t xml:space="preserve">Measures </w:t>
            </w:r>
            <w:r w:rsidR="00B62D76" w:rsidRPr="00B62D76">
              <w:rPr>
                <w:rFonts w:cs="Calibri"/>
                <w:b/>
                <w:szCs w:val="22"/>
              </w:rPr>
              <w:t>that support a restraint-free environment</w:t>
            </w:r>
          </w:p>
          <w:p w:rsidR="00B62D76" w:rsidRPr="00B62D76" w:rsidRDefault="00B62D76" w:rsidP="00B62D76">
            <w:pPr>
              <w:jc w:val="center"/>
              <w:rPr>
                <w:rFonts w:cs="Calibri"/>
                <w:b/>
                <w:szCs w:val="22"/>
              </w:rPr>
            </w:pPr>
          </w:p>
        </w:tc>
      </w:tr>
      <w:tr w:rsidR="00B62D76" w:rsidRPr="00043DDA" w:rsidTr="00F330E4">
        <w:tc>
          <w:tcPr>
            <w:tcW w:w="3119" w:type="dxa"/>
          </w:tcPr>
          <w:p w:rsidR="00B62D76" w:rsidRDefault="00043DDA">
            <w:pPr>
              <w:rPr>
                <w:rFonts w:cs="Calibri"/>
                <w:b/>
                <w:szCs w:val="22"/>
              </w:rPr>
            </w:pPr>
            <w:r w:rsidRPr="00043DDA">
              <w:rPr>
                <w:rFonts w:cs="Calibri"/>
                <w:b/>
                <w:szCs w:val="22"/>
              </w:rPr>
              <w:t xml:space="preserve">Physical environment </w:t>
            </w:r>
          </w:p>
          <w:p w:rsidR="00043DDA" w:rsidRPr="00043DDA" w:rsidRDefault="00043DDA">
            <w:pPr>
              <w:rPr>
                <w:rFonts w:cs="Calibri"/>
                <w:b/>
                <w:szCs w:val="22"/>
              </w:rPr>
            </w:pPr>
          </w:p>
        </w:tc>
        <w:tc>
          <w:tcPr>
            <w:tcW w:w="3544" w:type="dxa"/>
          </w:tcPr>
          <w:p w:rsidR="00B62D76" w:rsidRPr="00043DDA" w:rsidRDefault="00043DDA">
            <w:pPr>
              <w:rPr>
                <w:rFonts w:cs="Calibri"/>
                <w:b/>
                <w:szCs w:val="22"/>
              </w:rPr>
            </w:pPr>
            <w:r w:rsidRPr="00043DDA">
              <w:rPr>
                <w:rFonts w:cs="Calibri"/>
                <w:b/>
                <w:szCs w:val="22"/>
              </w:rPr>
              <w:t>Relationships</w:t>
            </w:r>
          </w:p>
        </w:tc>
        <w:tc>
          <w:tcPr>
            <w:tcW w:w="3119" w:type="dxa"/>
          </w:tcPr>
          <w:p w:rsidR="00B62D76" w:rsidRPr="00043DDA" w:rsidRDefault="00F330E4">
            <w:pPr>
              <w:rPr>
                <w:rFonts w:cs="Calibri"/>
                <w:b/>
                <w:szCs w:val="22"/>
              </w:rPr>
            </w:pPr>
            <w:r>
              <w:rPr>
                <w:rFonts w:cs="Calibri"/>
                <w:b/>
                <w:szCs w:val="22"/>
              </w:rPr>
              <w:t>Mauri ora</w:t>
            </w:r>
          </w:p>
        </w:tc>
      </w:tr>
      <w:tr w:rsidR="00043DDA" w:rsidRPr="00043DDA" w:rsidTr="00F330E4">
        <w:tc>
          <w:tcPr>
            <w:tcW w:w="3119" w:type="dxa"/>
          </w:tcPr>
          <w:p w:rsidR="00043DDA" w:rsidRPr="008B33CF" w:rsidRDefault="00043DDA" w:rsidP="00043DDA">
            <w:pPr>
              <w:rPr>
                <w:rFonts w:cs="Calibri"/>
                <w:szCs w:val="22"/>
              </w:rPr>
            </w:pPr>
            <w:r w:rsidRPr="008B33CF">
              <w:rPr>
                <w:rFonts w:cs="Calibri"/>
                <w:szCs w:val="22"/>
              </w:rPr>
              <w:t xml:space="preserve">Attending to </w:t>
            </w:r>
            <w:r>
              <w:rPr>
                <w:rFonts w:cs="Calibri"/>
                <w:szCs w:val="22"/>
              </w:rPr>
              <w:t xml:space="preserve">tangata whai ora/tangata whaikaha </w:t>
            </w:r>
            <w:r w:rsidRPr="008B33CF">
              <w:rPr>
                <w:rFonts w:cs="Calibri"/>
                <w:szCs w:val="22"/>
              </w:rPr>
              <w:t>individual needs (examples):</w:t>
            </w:r>
          </w:p>
          <w:p w:rsidR="00043DDA" w:rsidRPr="008B33CF" w:rsidRDefault="00043DDA" w:rsidP="00043DDA">
            <w:pPr>
              <w:widowControl/>
              <w:numPr>
                <w:ilvl w:val="0"/>
                <w:numId w:val="1"/>
              </w:numPr>
              <w:tabs>
                <w:tab w:val="clear" w:pos="360"/>
                <w:tab w:val="num" w:pos="180"/>
              </w:tabs>
              <w:overflowPunct/>
              <w:autoSpaceDE/>
              <w:autoSpaceDN/>
              <w:adjustRightInd/>
              <w:rPr>
                <w:rFonts w:cs="Calibri"/>
                <w:szCs w:val="22"/>
              </w:rPr>
            </w:pPr>
            <w:r w:rsidRPr="008B33CF">
              <w:rPr>
                <w:rFonts w:cs="Calibri"/>
                <w:szCs w:val="22"/>
              </w:rPr>
              <w:t>Enough space</w:t>
            </w:r>
            <w:r>
              <w:rPr>
                <w:rFonts w:cs="Calibri"/>
                <w:szCs w:val="22"/>
              </w:rPr>
              <w:t>.</w:t>
            </w:r>
          </w:p>
          <w:p w:rsidR="00043DDA" w:rsidRPr="008B33CF" w:rsidRDefault="00043DDA" w:rsidP="00043DDA">
            <w:pPr>
              <w:widowControl/>
              <w:numPr>
                <w:ilvl w:val="0"/>
                <w:numId w:val="1"/>
              </w:numPr>
              <w:tabs>
                <w:tab w:val="clear" w:pos="360"/>
                <w:tab w:val="num" w:pos="180"/>
              </w:tabs>
              <w:overflowPunct/>
              <w:autoSpaceDE/>
              <w:autoSpaceDN/>
              <w:adjustRightInd/>
              <w:rPr>
                <w:rFonts w:cs="Calibri"/>
                <w:szCs w:val="22"/>
              </w:rPr>
            </w:pPr>
            <w:r w:rsidRPr="008B33CF">
              <w:rPr>
                <w:rFonts w:cs="Calibri"/>
                <w:szCs w:val="22"/>
              </w:rPr>
              <w:t>Quiet space</w:t>
            </w:r>
            <w:r>
              <w:rPr>
                <w:rFonts w:cs="Calibri"/>
                <w:szCs w:val="22"/>
              </w:rPr>
              <w:t>.</w:t>
            </w:r>
          </w:p>
          <w:p w:rsidR="00043DDA" w:rsidRPr="008B33CF" w:rsidRDefault="00043DDA" w:rsidP="00043DDA">
            <w:pPr>
              <w:widowControl/>
              <w:numPr>
                <w:ilvl w:val="0"/>
                <w:numId w:val="1"/>
              </w:numPr>
              <w:tabs>
                <w:tab w:val="clear" w:pos="360"/>
                <w:tab w:val="num" w:pos="180"/>
              </w:tabs>
              <w:overflowPunct/>
              <w:autoSpaceDE/>
              <w:autoSpaceDN/>
              <w:adjustRightInd/>
              <w:rPr>
                <w:rFonts w:cs="Calibri"/>
                <w:szCs w:val="22"/>
              </w:rPr>
            </w:pPr>
            <w:r w:rsidRPr="008B33CF">
              <w:rPr>
                <w:rFonts w:cs="Calibri"/>
                <w:szCs w:val="22"/>
              </w:rPr>
              <w:t>Individual space</w:t>
            </w:r>
            <w:r>
              <w:rPr>
                <w:rFonts w:cs="Calibri"/>
                <w:szCs w:val="22"/>
              </w:rPr>
              <w:t>.</w:t>
            </w:r>
          </w:p>
          <w:p w:rsidR="00043DDA" w:rsidRPr="008B33CF" w:rsidRDefault="00043DDA" w:rsidP="00043DDA">
            <w:pPr>
              <w:widowControl/>
              <w:numPr>
                <w:ilvl w:val="0"/>
                <w:numId w:val="1"/>
              </w:numPr>
              <w:tabs>
                <w:tab w:val="clear" w:pos="360"/>
                <w:tab w:val="num" w:pos="180"/>
              </w:tabs>
              <w:overflowPunct/>
              <w:autoSpaceDE/>
              <w:autoSpaceDN/>
              <w:adjustRightInd/>
              <w:rPr>
                <w:rFonts w:cs="Calibri"/>
                <w:szCs w:val="22"/>
              </w:rPr>
            </w:pPr>
            <w:r w:rsidRPr="008B33CF">
              <w:rPr>
                <w:rFonts w:cs="Calibri"/>
                <w:szCs w:val="22"/>
              </w:rPr>
              <w:t>Spaces to meet others</w:t>
            </w:r>
            <w:r>
              <w:rPr>
                <w:rFonts w:cs="Calibri"/>
                <w:szCs w:val="22"/>
              </w:rPr>
              <w:t>.</w:t>
            </w:r>
          </w:p>
          <w:p w:rsidR="00043DDA" w:rsidRPr="008B33CF" w:rsidRDefault="00043DDA" w:rsidP="00043DDA">
            <w:pPr>
              <w:widowControl/>
              <w:numPr>
                <w:ilvl w:val="0"/>
                <w:numId w:val="1"/>
              </w:numPr>
              <w:tabs>
                <w:tab w:val="clear" w:pos="360"/>
                <w:tab w:val="num" w:pos="180"/>
              </w:tabs>
              <w:overflowPunct/>
              <w:autoSpaceDE/>
              <w:autoSpaceDN/>
              <w:adjustRightInd/>
              <w:rPr>
                <w:rFonts w:cs="Calibri"/>
                <w:szCs w:val="22"/>
              </w:rPr>
            </w:pPr>
            <w:r w:rsidRPr="008B33CF">
              <w:rPr>
                <w:rFonts w:cs="Calibri"/>
                <w:szCs w:val="22"/>
              </w:rPr>
              <w:t>Private space</w:t>
            </w:r>
            <w:r>
              <w:rPr>
                <w:rFonts w:cs="Calibri"/>
                <w:szCs w:val="22"/>
              </w:rPr>
              <w:t>.</w:t>
            </w:r>
          </w:p>
          <w:p w:rsidR="00043DDA" w:rsidRPr="00043DDA" w:rsidRDefault="00043DDA" w:rsidP="00043DDA">
            <w:pPr>
              <w:widowControl/>
              <w:numPr>
                <w:ilvl w:val="0"/>
                <w:numId w:val="1"/>
              </w:numPr>
              <w:tabs>
                <w:tab w:val="clear" w:pos="360"/>
                <w:tab w:val="num" w:pos="180"/>
              </w:tabs>
              <w:overflowPunct/>
              <w:autoSpaceDE/>
              <w:autoSpaceDN/>
              <w:adjustRightInd/>
              <w:rPr>
                <w:rFonts w:cs="Calibri"/>
                <w:color w:val="auto"/>
                <w:szCs w:val="22"/>
              </w:rPr>
            </w:pPr>
            <w:r w:rsidRPr="00043DDA">
              <w:rPr>
                <w:rStyle w:val="Hyperlink"/>
                <w:rFonts w:cs="Calibri"/>
                <w:color w:val="auto"/>
                <w:szCs w:val="22"/>
                <w:u w:val="none"/>
              </w:rPr>
              <w:t>Sensory modulation space</w:t>
            </w:r>
            <w:r w:rsidRPr="00043DDA">
              <w:rPr>
                <w:rFonts w:cs="Calibri"/>
                <w:color w:val="auto"/>
                <w:szCs w:val="22"/>
              </w:rPr>
              <w:t>.</w:t>
            </w:r>
          </w:p>
          <w:p w:rsidR="00043DDA" w:rsidRDefault="00043DDA" w:rsidP="00043DDA">
            <w:pPr>
              <w:widowControl/>
              <w:numPr>
                <w:ilvl w:val="0"/>
                <w:numId w:val="1"/>
              </w:numPr>
              <w:tabs>
                <w:tab w:val="clear" w:pos="360"/>
                <w:tab w:val="num" w:pos="180"/>
              </w:tabs>
              <w:overflowPunct/>
              <w:autoSpaceDE/>
              <w:autoSpaceDN/>
              <w:adjustRightInd/>
              <w:rPr>
                <w:rFonts w:cs="Calibri"/>
                <w:szCs w:val="22"/>
              </w:rPr>
            </w:pPr>
            <w:r>
              <w:rPr>
                <w:rFonts w:cs="Calibri"/>
                <w:szCs w:val="22"/>
              </w:rPr>
              <w:t>Outside space.</w:t>
            </w:r>
          </w:p>
          <w:p w:rsidR="00043DDA" w:rsidRPr="00043DDA" w:rsidRDefault="00043DDA" w:rsidP="00C87AC4">
            <w:pPr>
              <w:widowControl/>
              <w:numPr>
                <w:ilvl w:val="0"/>
                <w:numId w:val="1"/>
              </w:numPr>
              <w:tabs>
                <w:tab w:val="clear" w:pos="360"/>
                <w:tab w:val="num" w:pos="180"/>
              </w:tabs>
              <w:overflowPunct/>
              <w:autoSpaceDE/>
              <w:autoSpaceDN/>
              <w:adjustRightInd/>
              <w:rPr>
                <w:rFonts w:cs="Calibri"/>
                <w:b/>
                <w:szCs w:val="22"/>
              </w:rPr>
            </w:pPr>
            <w:r>
              <w:rPr>
                <w:rFonts w:cs="Calibri"/>
                <w:szCs w:val="22"/>
              </w:rPr>
              <w:t>Exercise space.</w:t>
            </w:r>
          </w:p>
        </w:tc>
        <w:tc>
          <w:tcPr>
            <w:tcW w:w="3544" w:type="dxa"/>
          </w:tcPr>
          <w:p w:rsidR="00043DDA" w:rsidRPr="008B33CF" w:rsidRDefault="00043DDA" w:rsidP="00043DDA">
            <w:pPr>
              <w:widowControl/>
              <w:numPr>
                <w:ilvl w:val="0"/>
                <w:numId w:val="2"/>
              </w:numPr>
              <w:tabs>
                <w:tab w:val="clear" w:pos="360"/>
                <w:tab w:val="num" w:pos="180"/>
              </w:tabs>
              <w:overflowPunct/>
              <w:autoSpaceDE/>
              <w:autoSpaceDN/>
              <w:adjustRightInd/>
              <w:rPr>
                <w:rFonts w:cs="Calibri"/>
                <w:szCs w:val="22"/>
              </w:rPr>
            </w:pPr>
            <w:r w:rsidRPr="008B33CF">
              <w:rPr>
                <w:rFonts w:cs="Calibri"/>
                <w:szCs w:val="22"/>
              </w:rPr>
              <w:t xml:space="preserve">Choice of </w:t>
            </w:r>
            <w:r>
              <w:rPr>
                <w:rFonts w:cs="Calibri"/>
                <w:szCs w:val="22"/>
              </w:rPr>
              <w:t xml:space="preserve">health care </w:t>
            </w:r>
            <w:r w:rsidRPr="008B33CF">
              <w:rPr>
                <w:rFonts w:cs="Calibri"/>
                <w:szCs w:val="22"/>
              </w:rPr>
              <w:t>worker</w:t>
            </w:r>
            <w:r>
              <w:rPr>
                <w:rFonts w:cs="Calibri"/>
                <w:szCs w:val="22"/>
              </w:rPr>
              <w:t>.</w:t>
            </w:r>
          </w:p>
          <w:p w:rsidR="00043DDA" w:rsidRPr="008B33CF" w:rsidRDefault="00043DDA" w:rsidP="00043DDA">
            <w:pPr>
              <w:widowControl/>
              <w:numPr>
                <w:ilvl w:val="0"/>
                <w:numId w:val="2"/>
              </w:numPr>
              <w:tabs>
                <w:tab w:val="clear" w:pos="360"/>
                <w:tab w:val="num" w:pos="180"/>
              </w:tabs>
              <w:overflowPunct/>
              <w:autoSpaceDE/>
              <w:autoSpaceDN/>
              <w:adjustRightInd/>
              <w:ind w:left="180" w:hanging="180"/>
              <w:rPr>
                <w:rFonts w:cs="Calibri"/>
                <w:szCs w:val="22"/>
              </w:rPr>
            </w:pPr>
            <w:r w:rsidRPr="008B33CF">
              <w:rPr>
                <w:rFonts w:cs="Calibri"/>
                <w:szCs w:val="22"/>
              </w:rPr>
              <w:t>Honouring the right to company</w:t>
            </w:r>
            <w:r>
              <w:rPr>
                <w:rFonts w:cs="Calibri"/>
                <w:szCs w:val="22"/>
              </w:rPr>
              <w:t>.</w:t>
            </w:r>
          </w:p>
          <w:p w:rsidR="00043DDA" w:rsidRPr="008B33CF" w:rsidRDefault="00043DDA" w:rsidP="00043DDA">
            <w:pPr>
              <w:widowControl/>
              <w:numPr>
                <w:ilvl w:val="0"/>
                <w:numId w:val="2"/>
              </w:numPr>
              <w:tabs>
                <w:tab w:val="clear" w:pos="360"/>
                <w:tab w:val="num" w:pos="180"/>
              </w:tabs>
              <w:overflowPunct/>
              <w:autoSpaceDE/>
              <w:autoSpaceDN/>
              <w:adjustRightInd/>
              <w:ind w:left="180" w:hanging="180"/>
              <w:rPr>
                <w:rFonts w:cs="Calibri"/>
                <w:szCs w:val="22"/>
              </w:rPr>
            </w:pPr>
            <w:r w:rsidRPr="008B33CF">
              <w:rPr>
                <w:rFonts w:cs="Calibri"/>
                <w:szCs w:val="22"/>
              </w:rPr>
              <w:t>Supporting the maintenance of family and support relationships</w:t>
            </w:r>
            <w:r>
              <w:rPr>
                <w:rFonts w:cs="Calibri"/>
                <w:szCs w:val="22"/>
              </w:rPr>
              <w:t>.</w:t>
            </w:r>
          </w:p>
          <w:p w:rsidR="00043DDA" w:rsidRPr="008B33CF" w:rsidRDefault="00043DDA" w:rsidP="00043DDA">
            <w:pPr>
              <w:widowControl/>
              <w:numPr>
                <w:ilvl w:val="0"/>
                <w:numId w:val="2"/>
              </w:numPr>
              <w:tabs>
                <w:tab w:val="clear" w:pos="360"/>
                <w:tab w:val="num" w:pos="180"/>
              </w:tabs>
              <w:overflowPunct/>
              <w:autoSpaceDE/>
              <w:autoSpaceDN/>
              <w:adjustRightInd/>
              <w:ind w:left="180" w:hanging="180"/>
              <w:rPr>
                <w:rFonts w:cs="Calibri"/>
                <w:szCs w:val="22"/>
              </w:rPr>
            </w:pPr>
            <w:r w:rsidRPr="008B33CF">
              <w:rPr>
                <w:rFonts w:cs="Calibri"/>
                <w:szCs w:val="22"/>
              </w:rPr>
              <w:t xml:space="preserve">Engaging an </w:t>
            </w:r>
            <w:hyperlink r:id="rId21" w:history="1">
              <w:r w:rsidRPr="00043DDA">
                <w:rPr>
                  <w:rStyle w:val="Hyperlink"/>
                  <w:rFonts w:cs="Calibri"/>
                  <w:szCs w:val="22"/>
                </w:rPr>
                <w:t>advocate.</w:t>
              </w:r>
            </w:hyperlink>
          </w:p>
          <w:p w:rsidR="00043DDA" w:rsidRPr="00043DDA" w:rsidRDefault="00043DDA" w:rsidP="006C382E">
            <w:pPr>
              <w:widowControl/>
              <w:numPr>
                <w:ilvl w:val="0"/>
                <w:numId w:val="2"/>
              </w:numPr>
              <w:tabs>
                <w:tab w:val="clear" w:pos="360"/>
                <w:tab w:val="num" w:pos="180"/>
              </w:tabs>
              <w:overflowPunct/>
              <w:autoSpaceDE/>
              <w:autoSpaceDN/>
              <w:adjustRightInd/>
              <w:ind w:left="180" w:hanging="180"/>
              <w:rPr>
                <w:rFonts w:cs="Calibri"/>
                <w:szCs w:val="22"/>
              </w:rPr>
            </w:pPr>
            <w:r w:rsidRPr="00043DDA">
              <w:rPr>
                <w:rFonts w:cs="Calibri"/>
                <w:szCs w:val="22"/>
              </w:rPr>
              <w:t xml:space="preserve">Engaging </w:t>
            </w:r>
            <w:hyperlink r:id="rId22" w:history="1">
              <w:r w:rsidRPr="00170A5E">
                <w:rPr>
                  <w:rStyle w:val="Hyperlink"/>
                  <w:rFonts w:cs="Calibri"/>
                  <w:szCs w:val="22"/>
                </w:rPr>
                <w:t>peer support</w:t>
              </w:r>
            </w:hyperlink>
            <w:r w:rsidRPr="00043DDA">
              <w:rPr>
                <w:rFonts w:cs="Calibri"/>
                <w:szCs w:val="22"/>
              </w:rPr>
              <w:t>.</w:t>
            </w:r>
          </w:p>
          <w:p w:rsidR="00043DDA" w:rsidRPr="008B33CF" w:rsidRDefault="00043DDA" w:rsidP="00043DDA">
            <w:pPr>
              <w:widowControl/>
              <w:numPr>
                <w:ilvl w:val="0"/>
                <w:numId w:val="2"/>
              </w:numPr>
              <w:tabs>
                <w:tab w:val="clear" w:pos="360"/>
                <w:tab w:val="num" w:pos="180"/>
              </w:tabs>
              <w:overflowPunct/>
              <w:autoSpaceDE/>
              <w:autoSpaceDN/>
              <w:adjustRightInd/>
              <w:ind w:left="180" w:hanging="180"/>
              <w:rPr>
                <w:rFonts w:cs="Calibri"/>
                <w:szCs w:val="22"/>
              </w:rPr>
            </w:pPr>
            <w:r w:rsidRPr="008B33CF">
              <w:rPr>
                <w:rFonts w:cs="Calibri"/>
                <w:szCs w:val="22"/>
              </w:rPr>
              <w:t xml:space="preserve">Provision of </w:t>
            </w:r>
            <w:hyperlink r:id="rId23" w:history="1">
              <w:r w:rsidR="00170A5E" w:rsidRPr="00170A5E">
                <w:rPr>
                  <w:rStyle w:val="Hyperlink"/>
                  <w:rFonts w:cs="Calibri"/>
                  <w:szCs w:val="22"/>
                </w:rPr>
                <w:t>ethnic</w:t>
              </w:r>
            </w:hyperlink>
            <w:r w:rsidR="00170A5E">
              <w:rPr>
                <w:rFonts w:cs="Calibri"/>
                <w:szCs w:val="22"/>
              </w:rPr>
              <w:t>/</w:t>
            </w:r>
            <w:r w:rsidRPr="008B33CF">
              <w:rPr>
                <w:rFonts w:cs="Calibri"/>
                <w:szCs w:val="22"/>
              </w:rPr>
              <w:t>cultural supports</w:t>
            </w:r>
            <w:r>
              <w:rPr>
                <w:rFonts w:cs="Calibri"/>
                <w:szCs w:val="22"/>
              </w:rPr>
              <w:t>.</w:t>
            </w:r>
          </w:p>
          <w:p w:rsidR="00043DDA" w:rsidRPr="00043DDA" w:rsidRDefault="00043DDA">
            <w:pPr>
              <w:rPr>
                <w:rFonts w:cs="Calibri"/>
                <w:b/>
                <w:szCs w:val="22"/>
              </w:rPr>
            </w:pPr>
          </w:p>
        </w:tc>
        <w:tc>
          <w:tcPr>
            <w:tcW w:w="3119" w:type="dxa"/>
          </w:tcPr>
          <w:p w:rsidR="00F330E4" w:rsidRPr="008B33CF" w:rsidRDefault="00F330E4" w:rsidP="00771D21">
            <w:pPr>
              <w:widowControl/>
              <w:numPr>
                <w:ilvl w:val="0"/>
                <w:numId w:val="3"/>
              </w:numPr>
              <w:overflowPunct/>
              <w:autoSpaceDE/>
              <w:autoSpaceDN/>
              <w:adjustRightInd/>
              <w:rPr>
                <w:rFonts w:cs="Calibri"/>
                <w:szCs w:val="22"/>
              </w:rPr>
            </w:pPr>
            <w:r w:rsidRPr="008B33CF">
              <w:rPr>
                <w:rFonts w:cs="Calibri"/>
                <w:szCs w:val="22"/>
              </w:rPr>
              <w:t>Facilitating optimal well</w:t>
            </w:r>
            <w:r>
              <w:rPr>
                <w:rFonts w:cs="Calibri"/>
                <w:szCs w:val="22"/>
              </w:rPr>
              <w:t>being.</w:t>
            </w:r>
          </w:p>
          <w:p w:rsidR="00043DDA" w:rsidRPr="00F330E4" w:rsidRDefault="00F330E4" w:rsidP="00771D21">
            <w:pPr>
              <w:widowControl/>
              <w:numPr>
                <w:ilvl w:val="0"/>
                <w:numId w:val="3"/>
              </w:numPr>
              <w:overflowPunct/>
              <w:autoSpaceDE/>
              <w:autoSpaceDN/>
              <w:adjustRightInd/>
              <w:rPr>
                <w:rFonts w:cs="Calibri"/>
                <w:b/>
                <w:szCs w:val="22"/>
              </w:rPr>
            </w:pPr>
            <w:r w:rsidRPr="008B33CF">
              <w:rPr>
                <w:rFonts w:cs="Calibri"/>
                <w:szCs w:val="22"/>
              </w:rPr>
              <w:t>Healthy living programmes</w:t>
            </w:r>
            <w:r>
              <w:rPr>
                <w:rFonts w:cs="Calibri"/>
                <w:szCs w:val="22"/>
              </w:rPr>
              <w:t>.</w:t>
            </w:r>
          </w:p>
          <w:p w:rsidR="00F330E4" w:rsidRPr="00F330E4" w:rsidRDefault="00F330E4" w:rsidP="00771D21">
            <w:pPr>
              <w:widowControl/>
              <w:numPr>
                <w:ilvl w:val="0"/>
                <w:numId w:val="3"/>
              </w:numPr>
              <w:overflowPunct/>
              <w:autoSpaceDE/>
              <w:autoSpaceDN/>
              <w:adjustRightInd/>
              <w:rPr>
                <w:rFonts w:cs="Calibri"/>
                <w:b/>
                <w:szCs w:val="22"/>
              </w:rPr>
            </w:pPr>
            <w:r>
              <w:rPr>
                <w:rFonts w:cs="Calibri"/>
                <w:szCs w:val="22"/>
              </w:rPr>
              <w:t>Cultural activities.</w:t>
            </w:r>
          </w:p>
          <w:p w:rsidR="00771D21" w:rsidRPr="00771D21" w:rsidRDefault="00771D21" w:rsidP="00771D21">
            <w:pPr>
              <w:widowControl/>
              <w:numPr>
                <w:ilvl w:val="0"/>
                <w:numId w:val="3"/>
              </w:numPr>
              <w:overflowPunct/>
              <w:autoSpaceDE/>
              <w:autoSpaceDN/>
              <w:adjustRightInd/>
              <w:rPr>
                <w:rFonts w:cs="Calibri"/>
                <w:b/>
                <w:szCs w:val="22"/>
              </w:rPr>
            </w:pPr>
            <w:r w:rsidRPr="00771D21">
              <w:rPr>
                <w:rFonts w:cs="Calibri"/>
                <w:szCs w:val="22"/>
              </w:rPr>
              <w:t>Engaging with Māori service providers</w:t>
            </w:r>
            <w:r>
              <w:rPr>
                <w:rFonts w:cs="Calibri"/>
                <w:szCs w:val="22"/>
              </w:rPr>
              <w:t>.</w:t>
            </w:r>
          </w:p>
          <w:p w:rsidR="00771D21" w:rsidRDefault="00771D21" w:rsidP="00771D21">
            <w:pPr>
              <w:widowControl/>
              <w:numPr>
                <w:ilvl w:val="0"/>
                <w:numId w:val="3"/>
              </w:numPr>
              <w:overflowPunct/>
              <w:autoSpaceDE/>
              <w:autoSpaceDN/>
              <w:adjustRightInd/>
              <w:rPr>
                <w:rFonts w:cs="Calibri"/>
                <w:szCs w:val="22"/>
              </w:rPr>
            </w:pPr>
            <w:r w:rsidRPr="00043DDA">
              <w:rPr>
                <w:rFonts w:cs="Calibri"/>
                <w:szCs w:val="22"/>
              </w:rPr>
              <w:t xml:space="preserve">Providing </w:t>
            </w:r>
            <w:r>
              <w:rPr>
                <w:rFonts w:cs="Calibri"/>
                <w:szCs w:val="22"/>
              </w:rPr>
              <w:t>a mana boosting service.</w:t>
            </w:r>
          </w:p>
          <w:p w:rsidR="00771D21" w:rsidRPr="00043DDA" w:rsidRDefault="008D275F" w:rsidP="009F1FF3">
            <w:pPr>
              <w:widowControl/>
              <w:numPr>
                <w:ilvl w:val="0"/>
                <w:numId w:val="3"/>
              </w:numPr>
              <w:overflowPunct/>
              <w:autoSpaceDE/>
              <w:autoSpaceDN/>
              <w:adjustRightInd/>
              <w:rPr>
                <w:rFonts w:cs="Calibri"/>
                <w:b/>
                <w:szCs w:val="22"/>
              </w:rPr>
            </w:pPr>
            <w:r>
              <w:rPr>
                <w:rFonts w:cs="Calibri"/>
                <w:szCs w:val="22"/>
              </w:rPr>
              <w:t>We ensure m</w:t>
            </w:r>
            <w:r w:rsidR="00771D21">
              <w:rPr>
                <w:rFonts w:cs="Calibri"/>
                <w:szCs w:val="22"/>
              </w:rPr>
              <w:t>ātauranga Māori</w:t>
            </w:r>
            <w:r>
              <w:rPr>
                <w:rFonts w:cs="Calibri"/>
                <w:szCs w:val="22"/>
              </w:rPr>
              <w:t xml:space="preserve"> can be practice</w:t>
            </w:r>
            <w:r w:rsidR="009F1FF3">
              <w:rPr>
                <w:rFonts w:cs="Calibri"/>
                <w:szCs w:val="22"/>
              </w:rPr>
              <w:t>d</w:t>
            </w:r>
            <w:r>
              <w:rPr>
                <w:rFonts w:cs="Calibri"/>
                <w:szCs w:val="22"/>
              </w:rPr>
              <w:t xml:space="preserve"> in our service</w:t>
            </w:r>
            <w:r w:rsidR="00771D21">
              <w:rPr>
                <w:rFonts w:cs="Calibri"/>
                <w:szCs w:val="22"/>
              </w:rPr>
              <w:t xml:space="preserve">. </w:t>
            </w:r>
            <w:r w:rsidR="009F1FF3">
              <w:rPr>
                <w:rFonts w:cs="Calibri"/>
                <w:szCs w:val="22"/>
              </w:rPr>
              <w:t xml:space="preserve">  </w:t>
            </w:r>
          </w:p>
        </w:tc>
      </w:tr>
      <w:tr w:rsidR="00B34513" w:rsidRPr="00043DDA" w:rsidTr="009F1FF3">
        <w:trPr>
          <w:trHeight w:val="323"/>
        </w:trPr>
        <w:tc>
          <w:tcPr>
            <w:tcW w:w="3119" w:type="dxa"/>
          </w:tcPr>
          <w:p w:rsidR="00D47289" w:rsidRPr="008B33CF" w:rsidRDefault="00D47289" w:rsidP="00D47289">
            <w:pPr>
              <w:rPr>
                <w:rFonts w:cs="Calibri"/>
                <w:b/>
                <w:szCs w:val="22"/>
              </w:rPr>
            </w:pPr>
            <w:r w:rsidRPr="008B33CF">
              <w:rPr>
                <w:rFonts w:cs="Calibri"/>
                <w:b/>
                <w:szCs w:val="22"/>
              </w:rPr>
              <w:t>Training</w:t>
            </w:r>
          </w:p>
          <w:p w:rsidR="00B34513" w:rsidRPr="008B33CF" w:rsidRDefault="00B34513" w:rsidP="00043DDA">
            <w:pPr>
              <w:rPr>
                <w:rFonts w:cs="Calibri"/>
                <w:szCs w:val="22"/>
              </w:rPr>
            </w:pPr>
          </w:p>
        </w:tc>
        <w:tc>
          <w:tcPr>
            <w:tcW w:w="3544" w:type="dxa"/>
          </w:tcPr>
          <w:p w:rsidR="00B34513" w:rsidRPr="00DB0AF8" w:rsidRDefault="00DB0AF8" w:rsidP="00DB0AF8">
            <w:pPr>
              <w:widowControl/>
              <w:overflowPunct/>
              <w:autoSpaceDE/>
              <w:autoSpaceDN/>
              <w:adjustRightInd/>
              <w:rPr>
                <w:rFonts w:cs="Calibri"/>
                <w:b/>
                <w:szCs w:val="22"/>
              </w:rPr>
            </w:pPr>
            <w:r w:rsidRPr="00DB0AF8">
              <w:rPr>
                <w:rFonts w:cs="Calibri"/>
                <w:b/>
                <w:szCs w:val="22"/>
              </w:rPr>
              <w:t>Assessments</w:t>
            </w:r>
          </w:p>
        </w:tc>
        <w:tc>
          <w:tcPr>
            <w:tcW w:w="3119" w:type="dxa"/>
          </w:tcPr>
          <w:p w:rsidR="00B34513" w:rsidRPr="009F1FF3" w:rsidRDefault="009F1FF3" w:rsidP="00D47289">
            <w:pPr>
              <w:widowControl/>
              <w:overflowPunct/>
              <w:autoSpaceDE/>
              <w:autoSpaceDN/>
              <w:adjustRightInd/>
              <w:rPr>
                <w:rFonts w:cs="Calibri"/>
                <w:b/>
                <w:szCs w:val="22"/>
              </w:rPr>
            </w:pPr>
            <w:r w:rsidRPr="009F1FF3">
              <w:rPr>
                <w:rFonts w:cs="Calibri"/>
                <w:b/>
                <w:szCs w:val="22"/>
              </w:rPr>
              <w:t>Care planning</w:t>
            </w:r>
          </w:p>
        </w:tc>
      </w:tr>
      <w:tr w:rsidR="00B34513" w:rsidRPr="00043DDA" w:rsidTr="00F330E4">
        <w:tc>
          <w:tcPr>
            <w:tcW w:w="3119" w:type="dxa"/>
          </w:tcPr>
          <w:p w:rsidR="006463C2" w:rsidRPr="008B33CF" w:rsidRDefault="006463C2" w:rsidP="006463C2">
            <w:pPr>
              <w:rPr>
                <w:rFonts w:cs="Calibri"/>
                <w:szCs w:val="22"/>
              </w:rPr>
            </w:pPr>
            <w:r>
              <w:rPr>
                <w:rFonts w:cs="Calibri"/>
                <w:szCs w:val="22"/>
              </w:rPr>
              <w:t>S</w:t>
            </w:r>
            <w:r w:rsidRPr="008B33CF">
              <w:rPr>
                <w:rFonts w:cs="Calibri"/>
                <w:szCs w:val="22"/>
              </w:rPr>
              <w:t>taff have:</w:t>
            </w:r>
          </w:p>
          <w:p w:rsidR="006463C2" w:rsidRPr="008B33CF" w:rsidRDefault="006463C2" w:rsidP="006463C2">
            <w:pPr>
              <w:widowControl/>
              <w:numPr>
                <w:ilvl w:val="0"/>
                <w:numId w:val="5"/>
              </w:numPr>
              <w:tabs>
                <w:tab w:val="clear" w:pos="360"/>
                <w:tab w:val="num" w:pos="180"/>
              </w:tabs>
              <w:overflowPunct/>
              <w:autoSpaceDE/>
              <w:autoSpaceDN/>
              <w:adjustRightInd/>
              <w:ind w:left="180" w:hanging="180"/>
              <w:rPr>
                <w:rFonts w:cs="Calibri"/>
                <w:szCs w:val="22"/>
              </w:rPr>
            </w:pPr>
            <w:r w:rsidRPr="008B33CF">
              <w:rPr>
                <w:rFonts w:cs="Calibri"/>
                <w:szCs w:val="22"/>
              </w:rPr>
              <w:t>De-escalation training</w:t>
            </w:r>
            <w:r>
              <w:rPr>
                <w:rFonts w:cs="Calibri"/>
                <w:szCs w:val="22"/>
              </w:rPr>
              <w:t>.</w:t>
            </w:r>
            <w:r w:rsidRPr="008B33CF">
              <w:rPr>
                <w:rFonts w:cs="Calibri"/>
                <w:szCs w:val="22"/>
              </w:rPr>
              <w:t xml:space="preserve"> </w:t>
            </w:r>
          </w:p>
          <w:p w:rsidR="006463C2" w:rsidRPr="008B33CF" w:rsidRDefault="006463C2" w:rsidP="006463C2">
            <w:pPr>
              <w:widowControl/>
              <w:numPr>
                <w:ilvl w:val="0"/>
                <w:numId w:val="5"/>
              </w:numPr>
              <w:tabs>
                <w:tab w:val="clear" w:pos="360"/>
                <w:tab w:val="num" w:pos="180"/>
              </w:tabs>
              <w:overflowPunct/>
              <w:autoSpaceDE/>
              <w:autoSpaceDN/>
              <w:adjustRightInd/>
              <w:ind w:left="180" w:hanging="180"/>
              <w:rPr>
                <w:rFonts w:cs="Calibri"/>
                <w:szCs w:val="22"/>
              </w:rPr>
            </w:pPr>
            <w:r>
              <w:rPr>
                <w:rFonts w:cs="Calibri"/>
                <w:szCs w:val="22"/>
              </w:rPr>
              <w:t>S</w:t>
            </w:r>
            <w:r w:rsidRPr="008B33CF">
              <w:rPr>
                <w:rFonts w:cs="Calibri"/>
                <w:szCs w:val="22"/>
              </w:rPr>
              <w:t>afety training</w:t>
            </w:r>
            <w:r>
              <w:rPr>
                <w:rFonts w:cs="Calibri"/>
                <w:szCs w:val="22"/>
              </w:rPr>
              <w:t>.</w:t>
            </w:r>
            <w:r w:rsidRPr="008B33CF">
              <w:rPr>
                <w:rFonts w:cs="Calibri"/>
                <w:szCs w:val="22"/>
              </w:rPr>
              <w:t xml:space="preserve"> </w:t>
            </w:r>
          </w:p>
          <w:p w:rsidR="006463C2" w:rsidRPr="008B33CF" w:rsidRDefault="006463C2" w:rsidP="006463C2">
            <w:pPr>
              <w:widowControl/>
              <w:numPr>
                <w:ilvl w:val="0"/>
                <w:numId w:val="5"/>
              </w:numPr>
              <w:tabs>
                <w:tab w:val="clear" w:pos="360"/>
                <w:tab w:val="num" w:pos="180"/>
              </w:tabs>
              <w:overflowPunct/>
              <w:autoSpaceDE/>
              <w:autoSpaceDN/>
              <w:adjustRightInd/>
              <w:ind w:left="180" w:hanging="180"/>
              <w:rPr>
                <w:rFonts w:cs="Calibri"/>
                <w:szCs w:val="22"/>
              </w:rPr>
            </w:pPr>
            <w:r w:rsidRPr="008B33CF">
              <w:rPr>
                <w:rFonts w:cs="Calibri"/>
                <w:szCs w:val="22"/>
              </w:rPr>
              <w:t>Consumer rights training</w:t>
            </w:r>
            <w:r>
              <w:rPr>
                <w:rFonts w:cs="Calibri"/>
                <w:szCs w:val="22"/>
              </w:rPr>
              <w:t>.</w:t>
            </w:r>
          </w:p>
          <w:p w:rsidR="006463C2" w:rsidRPr="008B33CF" w:rsidRDefault="006463C2" w:rsidP="006463C2">
            <w:pPr>
              <w:widowControl/>
              <w:numPr>
                <w:ilvl w:val="0"/>
                <w:numId w:val="5"/>
              </w:numPr>
              <w:tabs>
                <w:tab w:val="clear" w:pos="360"/>
                <w:tab w:val="num" w:pos="180"/>
              </w:tabs>
              <w:overflowPunct/>
              <w:autoSpaceDE/>
              <w:autoSpaceDN/>
              <w:adjustRightInd/>
              <w:ind w:left="180" w:hanging="180"/>
              <w:rPr>
                <w:rFonts w:cs="Calibri"/>
                <w:szCs w:val="22"/>
              </w:rPr>
            </w:pPr>
            <w:r w:rsidRPr="00833E4F">
              <w:rPr>
                <w:rFonts w:cs="Calibri"/>
                <w:szCs w:val="22"/>
              </w:rPr>
              <w:t>Sensory modulation training</w:t>
            </w:r>
            <w:r>
              <w:rPr>
                <w:rStyle w:val="Hyperlink"/>
                <w:rFonts w:cs="Calibri"/>
                <w:szCs w:val="22"/>
              </w:rPr>
              <w:t>.</w:t>
            </w:r>
          </w:p>
          <w:p w:rsidR="006463C2" w:rsidRPr="008B33CF" w:rsidRDefault="00272336" w:rsidP="006463C2">
            <w:pPr>
              <w:widowControl/>
              <w:numPr>
                <w:ilvl w:val="0"/>
                <w:numId w:val="5"/>
              </w:numPr>
              <w:tabs>
                <w:tab w:val="clear" w:pos="360"/>
                <w:tab w:val="num" w:pos="180"/>
              </w:tabs>
              <w:overflowPunct/>
              <w:autoSpaceDE/>
              <w:autoSpaceDN/>
              <w:adjustRightInd/>
              <w:ind w:left="180" w:hanging="180"/>
              <w:rPr>
                <w:rFonts w:cs="Calibri"/>
                <w:szCs w:val="22"/>
              </w:rPr>
            </w:pPr>
            <w:hyperlink r:id="rId24" w:history="1">
              <w:r w:rsidR="006463C2" w:rsidRPr="00DB0AF8">
                <w:rPr>
                  <w:rStyle w:val="Hyperlink"/>
                  <w:rFonts w:cs="Calibri"/>
                  <w:szCs w:val="22"/>
                </w:rPr>
                <w:t>Trauma informed care</w:t>
              </w:r>
            </w:hyperlink>
            <w:r w:rsidR="006463C2" w:rsidRPr="008B33CF">
              <w:rPr>
                <w:rFonts w:cs="Calibri"/>
                <w:szCs w:val="22"/>
              </w:rPr>
              <w:t xml:space="preserve"> knowledge</w:t>
            </w:r>
            <w:r w:rsidR="006463C2">
              <w:rPr>
                <w:rFonts w:cs="Calibri"/>
                <w:szCs w:val="22"/>
              </w:rPr>
              <w:t>.</w:t>
            </w:r>
          </w:p>
          <w:p w:rsidR="006463C2" w:rsidRPr="00DB0AF8" w:rsidRDefault="00272336" w:rsidP="006463C2">
            <w:pPr>
              <w:widowControl/>
              <w:numPr>
                <w:ilvl w:val="0"/>
                <w:numId w:val="5"/>
              </w:numPr>
              <w:tabs>
                <w:tab w:val="clear" w:pos="360"/>
                <w:tab w:val="num" w:pos="180"/>
              </w:tabs>
              <w:overflowPunct/>
              <w:autoSpaceDE/>
              <w:autoSpaceDN/>
              <w:adjustRightInd/>
              <w:ind w:left="180" w:hanging="180"/>
              <w:rPr>
                <w:rStyle w:val="Hyperlink"/>
                <w:rFonts w:cs="Calibri"/>
                <w:color w:val="000000"/>
                <w:szCs w:val="22"/>
                <w:u w:val="none"/>
              </w:rPr>
            </w:pPr>
            <w:hyperlink r:id="rId25" w:history="1">
              <w:r w:rsidR="006463C2" w:rsidRPr="00833E4F">
                <w:rPr>
                  <w:rStyle w:val="Hyperlink"/>
                  <w:rFonts w:cs="Calibri"/>
                  <w:szCs w:val="22"/>
                </w:rPr>
                <w:t>Training in recovery approaches.</w:t>
              </w:r>
            </w:hyperlink>
          </w:p>
          <w:p w:rsidR="00B34513" w:rsidRPr="008B33CF" w:rsidRDefault="00DB0AF8" w:rsidP="00091FA6">
            <w:pPr>
              <w:widowControl/>
              <w:numPr>
                <w:ilvl w:val="0"/>
                <w:numId w:val="5"/>
              </w:numPr>
              <w:tabs>
                <w:tab w:val="clear" w:pos="360"/>
                <w:tab w:val="num" w:pos="180"/>
              </w:tabs>
              <w:overflowPunct/>
              <w:autoSpaceDE/>
              <w:autoSpaceDN/>
              <w:adjustRightInd/>
              <w:ind w:left="180" w:hanging="180"/>
              <w:rPr>
                <w:rFonts w:cs="Calibri"/>
                <w:szCs w:val="22"/>
              </w:rPr>
            </w:pPr>
            <w:r w:rsidRPr="00DB0AF8">
              <w:rPr>
                <w:rStyle w:val="Hyperlink"/>
                <w:rFonts w:cs="Calibri"/>
                <w:color w:val="auto"/>
                <w:szCs w:val="22"/>
                <w:u w:val="none"/>
              </w:rPr>
              <w:t xml:space="preserve">Tangata whaiora/tangata whaikaha education in </w:t>
            </w:r>
            <w:r w:rsidR="00091FA6">
              <w:rPr>
                <w:rStyle w:val="Hyperlink"/>
                <w:rFonts w:cs="Calibri"/>
                <w:color w:val="auto"/>
                <w:szCs w:val="22"/>
                <w:u w:val="none"/>
              </w:rPr>
              <w:t>self-</w:t>
            </w:r>
            <w:r w:rsidR="00091FA6" w:rsidRPr="00DB0AF8">
              <w:rPr>
                <w:rStyle w:val="Hyperlink"/>
                <w:rFonts w:cs="Calibri"/>
                <w:color w:val="auto"/>
                <w:szCs w:val="22"/>
                <w:u w:val="none"/>
              </w:rPr>
              <w:t>de-escalati</w:t>
            </w:r>
            <w:r w:rsidR="00091FA6">
              <w:rPr>
                <w:rStyle w:val="Hyperlink"/>
                <w:rFonts w:cs="Calibri"/>
                <w:color w:val="auto"/>
                <w:szCs w:val="22"/>
                <w:u w:val="none"/>
              </w:rPr>
              <w:t xml:space="preserve">on. </w:t>
            </w:r>
          </w:p>
        </w:tc>
        <w:tc>
          <w:tcPr>
            <w:tcW w:w="3544" w:type="dxa"/>
          </w:tcPr>
          <w:p w:rsidR="00DB0AF8" w:rsidRDefault="00104229" w:rsidP="00DB0AF8">
            <w:pPr>
              <w:rPr>
                <w:rFonts w:cs="Calibri"/>
                <w:szCs w:val="22"/>
              </w:rPr>
            </w:pPr>
            <w:r>
              <w:rPr>
                <w:rFonts w:cs="Calibri"/>
                <w:szCs w:val="22"/>
              </w:rPr>
              <w:t>Tāngata whai ora/ tāngata</w:t>
            </w:r>
            <w:r w:rsidRPr="008B33CF">
              <w:rPr>
                <w:rFonts w:cs="Calibri"/>
                <w:szCs w:val="22"/>
              </w:rPr>
              <w:t xml:space="preserve"> </w:t>
            </w:r>
            <w:r>
              <w:rPr>
                <w:rFonts w:cs="Calibri"/>
                <w:szCs w:val="22"/>
              </w:rPr>
              <w:t xml:space="preserve">whaikaha </w:t>
            </w:r>
            <w:r w:rsidR="00DB0AF8" w:rsidRPr="008B33CF">
              <w:rPr>
                <w:rFonts w:cs="Calibri"/>
                <w:szCs w:val="22"/>
              </w:rPr>
              <w:t xml:space="preserve">assessments include:  </w:t>
            </w:r>
          </w:p>
          <w:p w:rsidR="00DB0AF8" w:rsidRPr="00546555" w:rsidRDefault="00DB0AF8" w:rsidP="00091FA6">
            <w:pPr>
              <w:pStyle w:val="ListParagraph"/>
              <w:numPr>
                <w:ilvl w:val="0"/>
                <w:numId w:val="6"/>
              </w:numPr>
              <w:rPr>
                <w:rFonts w:cs="Calibri"/>
                <w:szCs w:val="22"/>
              </w:rPr>
            </w:pPr>
            <w:r w:rsidRPr="00546555">
              <w:rPr>
                <w:rFonts w:cs="Calibri"/>
                <w:szCs w:val="22"/>
              </w:rPr>
              <w:t>Triggers</w:t>
            </w:r>
            <w:r>
              <w:rPr>
                <w:rFonts w:cs="Calibri"/>
                <w:szCs w:val="22"/>
              </w:rPr>
              <w:t>.</w:t>
            </w:r>
          </w:p>
          <w:p w:rsidR="00DB0AF8" w:rsidRPr="008B33CF" w:rsidRDefault="00DB0AF8" w:rsidP="00091FA6">
            <w:pPr>
              <w:widowControl/>
              <w:numPr>
                <w:ilvl w:val="0"/>
                <w:numId w:val="6"/>
              </w:numPr>
              <w:overflowPunct/>
              <w:autoSpaceDE/>
              <w:autoSpaceDN/>
              <w:adjustRightInd/>
              <w:rPr>
                <w:rFonts w:cs="Calibri"/>
                <w:szCs w:val="22"/>
              </w:rPr>
            </w:pPr>
            <w:r w:rsidRPr="008B33CF">
              <w:rPr>
                <w:rFonts w:cs="Calibri"/>
                <w:szCs w:val="22"/>
              </w:rPr>
              <w:t>Early warning signs</w:t>
            </w:r>
            <w:r>
              <w:rPr>
                <w:rFonts w:cs="Calibri"/>
                <w:szCs w:val="22"/>
              </w:rPr>
              <w:t>.</w:t>
            </w:r>
          </w:p>
          <w:p w:rsidR="00DB0AF8" w:rsidRPr="008B33CF" w:rsidRDefault="00DB0AF8" w:rsidP="00091FA6">
            <w:pPr>
              <w:widowControl/>
              <w:numPr>
                <w:ilvl w:val="0"/>
                <w:numId w:val="6"/>
              </w:numPr>
              <w:overflowPunct/>
              <w:autoSpaceDE/>
              <w:autoSpaceDN/>
              <w:adjustRightInd/>
              <w:rPr>
                <w:rFonts w:cs="Calibri"/>
                <w:szCs w:val="22"/>
              </w:rPr>
            </w:pPr>
            <w:r w:rsidRPr="008B33CF">
              <w:rPr>
                <w:rFonts w:cs="Calibri"/>
                <w:szCs w:val="22"/>
              </w:rPr>
              <w:t>Cultural protocols</w:t>
            </w:r>
            <w:r w:rsidR="00091FA6">
              <w:rPr>
                <w:rFonts w:cs="Calibri"/>
                <w:szCs w:val="22"/>
              </w:rPr>
              <w:t xml:space="preserve"> and supports</w:t>
            </w:r>
            <w:r>
              <w:rPr>
                <w:rFonts w:cs="Calibri"/>
                <w:szCs w:val="22"/>
              </w:rPr>
              <w:t>.</w:t>
            </w:r>
          </w:p>
          <w:p w:rsidR="00DB0AF8" w:rsidRDefault="00104229" w:rsidP="00091FA6">
            <w:pPr>
              <w:widowControl/>
              <w:numPr>
                <w:ilvl w:val="0"/>
                <w:numId w:val="6"/>
              </w:numPr>
              <w:overflowPunct/>
              <w:autoSpaceDE/>
              <w:autoSpaceDN/>
              <w:adjustRightInd/>
              <w:rPr>
                <w:rFonts w:cs="Calibri"/>
                <w:szCs w:val="22"/>
              </w:rPr>
            </w:pPr>
            <w:r>
              <w:rPr>
                <w:rFonts w:cs="Calibri"/>
                <w:szCs w:val="22"/>
              </w:rPr>
              <w:t>Safety issues</w:t>
            </w:r>
            <w:r w:rsidR="00DB0AF8">
              <w:rPr>
                <w:rFonts w:cs="Calibri"/>
                <w:szCs w:val="22"/>
              </w:rPr>
              <w:t>.</w:t>
            </w:r>
          </w:p>
          <w:p w:rsidR="00104229" w:rsidRPr="008B33CF" w:rsidRDefault="00104229" w:rsidP="00091FA6">
            <w:pPr>
              <w:widowControl/>
              <w:numPr>
                <w:ilvl w:val="0"/>
                <w:numId w:val="6"/>
              </w:numPr>
              <w:overflowPunct/>
              <w:autoSpaceDE/>
              <w:autoSpaceDN/>
              <w:adjustRightInd/>
              <w:rPr>
                <w:rFonts w:cs="Calibri"/>
                <w:szCs w:val="22"/>
              </w:rPr>
            </w:pPr>
            <w:r>
              <w:rPr>
                <w:rFonts w:cs="Calibri"/>
                <w:szCs w:val="22"/>
              </w:rPr>
              <w:t>Recovery capital.</w:t>
            </w:r>
          </w:p>
          <w:p w:rsidR="00DB0AF8" w:rsidRDefault="00DB0AF8" w:rsidP="00091FA6">
            <w:pPr>
              <w:widowControl/>
              <w:numPr>
                <w:ilvl w:val="0"/>
                <w:numId w:val="6"/>
              </w:numPr>
              <w:overflowPunct/>
              <w:autoSpaceDE/>
              <w:autoSpaceDN/>
              <w:adjustRightInd/>
              <w:rPr>
                <w:rFonts w:cs="Calibri"/>
                <w:szCs w:val="22"/>
              </w:rPr>
            </w:pPr>
            <w:r w:rsidRPr="008B33CF">
              <w:rPr>
                <w:rFonts w:cs="Calibri"/>
                <w:szCs w:val="22"/>
              </w:rPr>
              <w:t>Previous successful de-escalation strategies</w:t>
            </w:r>
            <w:r>
              <w:rPr>
                <w:rFonts w:cs="Calibri"/>
                <w:szCs w:val="22"/>
              </w:rPr>
              <w:t>.</w:t>
            </w:r>
          </w:p>
          <w:p w:rsidR="00104229" w:rsidRPr="008B33CF" w:rsidRDefault="00104229" w:rsidP="00091FA6">
            <w:pPr>
              <w:widowControl/>
              <w:numPr>
                <w:ilvl w:val="0"/>
                <w:numId w:val="6"/>
              </w:numPr>
              <w:overflowPunct/>
              <w:autoSpaceDE/>
              <w:autoSpaceDN/>
              <w:adjustRightInd/>
              <w:rPr>
                <w:rFonts w:cs="Calibri"/>
                <w:szCs w:val="22"/>
              </w:rPr>
            </w:pPr>
            <w:r>
              <w:rPr>
                <w:rFonts w:cs="Calibri"/>
                <w:szCs w:val="22"/>
              </w:rPr>
              <w:t>Sensory screens.</w:t>
            </w:r>
          </w:p>
          <w:p w:rsidR="00091FA6" w:rsidRDefault="00091FA6" w:rsidP="00091FA6">
            <w:pPr>
              <w:widowControl/>
              <w:numPr>
                <w:ilvl w:val="0"/>
                <w:numId w:val="6"/>
              </w:numPr>
              <w:overflowPunct/>
              <w:autoSpaceDE/>
              <w:autoSpaceDN/>
              <w:adjustRightInd/>
              <w:rPr>
                <w:rFonts w:cs="Calibri"/>
                <w:szCs w:val="22"/>
              </w:rPr>
            </w:pPr>
            <w:r>
              <w:rPr>
                <w:rFonts w:cs="Calibri"/>
                <w:szCs w:val="22"/>
              </w:rPr>
              <w:t>Identification of recovery capital.</w:t>
            </w:r>
          </w:p>
          <w:p w:rsidR="00B34513" w:rsidRPr="008B33CF" w:rsidRDefault="00B34513" w:rsidP="00091FA6">
            <w:pPr>
              <w:widowControl/>
              <w:overflowPunct/>
              <w:autoSpaceDE/>
              <w:autoSpaceDN/>
              <w:adjustRightInd/>
              <w:rPr>
                <w:rFonts w:cs="Calibri"/>
                <w:szCs w:val="22"/>
              </w:rPr>
            </w:pPr>
          </w:p>
        </w:tc>
        <w:tc>
          <w:tcPr>
            <w:tcW w:w="3119" w:type="dxa"/>
          </w:tcPr>
          <w:p w:rsidR="009F1FF3" w:rsidRPr="008B33CF" w:rsidRDefault="009F1FF3" w:rsidP="009F1FF3">
            <w:pPr>
              <w:rPr>
                <w:rFonts w:cs="Calibri"/>
                <w:szCs w:val="22"/>
              </w:rPr>
            </w:pPr>
            <w:r w:rsidRPr="008B33CF">
              <w:rPr>
                <w:rFonts w:cs="Calibri"/>
                <w:szCs w:val="22"/>
              </w:rPr>
              <w:t>Service users will participate in and determine all aspects of service delivery such as:</w:t>
            </w:r>
          </w:p>
          <w:p w:rsidR="009F1FF3" w:rsidRPr="005854E8" w:rsidRDefault="009F1FF3" w:rsidP="009F1FF3">
            <w:pPr>
              <w:widowControl/>
              <w:numPr>
                <w:ilvl w:val="0"/>
                <w:numId w:val="7"/>
              </w:numPr>
              <w:tabs>
                <w:tab w:val="clear" w:pos="360"/>
                <w:tab w:val="num" w:pos="180"/>
              </w:tabs>
              <w:overflowPunct/>
              <w:autoSpaceDE/>
              <w:autoSpaceDN/>
              <w:adjustRightInd/>
              <w:rPr>
                <w:rFonts w:cs="Calibri"/>
                <w:szCs w:val="22"/>
              </w:rPr>
            </w:pPr>
            <w:r w:rsidRPr="005854E8">
              <w:rPr>
                <w:rFonts w:cs="Calibri"/>
                <w:szCs w:val="22"/>
              </w:rPr>
              <w:t>Wellness plan</w:t>
            </w:r>
            <w:r>
              <w:rPr>
                <w:rFonts w:cs="Calibri"/>
                <w:szCs w:val="22"/>
              </w:rPr>
              <w:t>.</w:t>
            </w:r>
          </w:p>
          <w:p w:rsidR="009F1FF3" w:rsidRPr="005854E8" w:rsidRDefault="009F1FF3" w:rsidP="009F1FF3">
            <w:pPr>
              <w:widowControl/>
              <w:numPr>
                <w:ilvl w:val="0"/>
                <w:numId w:val="7"/>
              </w:numPr>
              <w:tabs>
                <w:tab w:val="clear" w:pos="360"/>
                <w:tab w:val="num" w:pos="180"/>
              </w:tabs>
              <w:overflowPunct/>
              <w:autoSpaceDE/>
              <w:autoSpaceDN/>
              <w:adjustRightInd/>
              <w:ind w:left="180" w:hanging="180"/>
              <w:rPr>
                <w:rFonts w:cs="Calibri"/>
                <w:szCs w:val="22"/>
              </w:rPr>
            </w:pPr>
            <w:r w:rsidRPr="005854E8">
              <w:rPr>
                <w:rFonts w:cs="Calibri"/>
                <w:szCs w:val="22"/>
              </w:rPr>
              <w:t>Relapse prevention plan</w:t>
            </w:r>
            <w:r>
              <w:rPr>
                <w:rFonts w:cs="Calibri"/>
                <w:szCs w:val="22"/>
              </w:rPr>
              <w:t>.</w:t>
            </w:r>
          </w:p>
          <w:p w:rsidR="009F1FF3" w:rsidRPr="005854E8" w:rsidRDefault="009F1FF3" w:rsidP="009F1FF3">
            <w:pPr>
              <w:widowControl/>
              <w:numPr>
                <w:ilvl w:val="0"/>
                <w:numId w:val="7"/>
              </w:numPr>
              <w:tabs>
                <w:tab w:val="clear" w:pos="360"/>
                <w:tab w:val="num" w:pos="180"/>
              </w:tabs>
              <w:overflowPunct/>
              <w:autoSpaceDE/>
              <w:autoSpaceDN/>
              <w:adjustRightInd/>
              <w:ind w:left="180" w:hanging="180"/>
              <w:rPr>
                <w:rFonts w:cs="Calibri"/>
                <w:szCs w:val="22"/>
              </w:rPr>
            </w:pPr>
            <w:r w:rsidRPr="005854E8">
              <w:rPr>
                <w:rFonts w:cs="Calibri"/>
                <w:szCs w:val="22"/>
              </w:rPr>
              <w:t>Safety plan</w:t>
            </w:r>
            <w:r>
              <w:rPr>
                <w:rFonts w:cs="Calibri"/>
                <w:szCs w:val="22"/>
              </w:rPr>
              <w:t>.</w:t>
            </w:r>
          </w:p>
          <w:p w:rsidR="009F1FF3" w:rsidRPr="005854E8" w:rsidRDefault="009F1FF3" w:rsidP="009F1FF3">
            <w:pPr>
              <w:widowControl/>
              <w:numPr>
                <w:ilvl w:val="0"/>
                <w:numId w:val="7"/>
              </w:numPr>
              <w:tabs>
                <w:tab w:val="clear" w:pos="360"/>
                <w:tab w:val="num" w:pos="180"/>
              </w:tabs>
              <w:overflowPunct/>
              <w:autoSpaceDE/>
              <w:autoSpaceDN/>
              <w:adjustRightInd/>
              <w:ind w:left="180" w:hanging="180"/>
              <w:rPr>
                <w:rFonts w:cs="Calibri"/>
                <w:szCs w:val="22"/>
              </w:rPr>
            </w:pPr>
            <w:r w:rsidRPr="005854E8">
              <w:rPr>
                <w:rFonts w:cs="Calibri"/>
                <w:szCs w:val="22"/>
              </w:rPr>
              <w:t>Collaborative records/notes</w:t>
            </w:r>
            <w:r>
              <w:rPr>
                <w:rFonts w:cs="Calibri"/>
                <w:szCs w:val="22"/>
              </w:rPr>
              <w:t>.</w:t>
            </w:r>
          </w:p>
          <w:p w:rsidR="009F1FF3" w:rsidRDefault="009F1FF3" w:rsidP="009F1FF3">
            <w:pPr>
              <w:widowControl/>
              <w:numPr>
                <w:ilvl w:val="0"/>
                <w:numId w:val="7"/>
              </w:numPr>
              <w:tabs>
                <w:tab w:val="clear" w:pos="360"/>
                <w:tab w:val="num" w:pos="180"/>
              </w:tabs>
              <w:overflowPunct/>
              <w:autoSpaceDE/>
              <w:autoSpaceDN/>
              <w:adjustRightInd/>
              <w:ind w:left="180" w:hanging="180"/>
              <w:rPr>
                <w:rFonts w:cs="Calibri"/>
                <w:szCs w:val="22"/>
              </w:rPr>
            </w:pPr>
            <w:r w:rsidRPr="005854E8">
              <w:rPr>
                <w:rFonts w:cs="Calibri"/>
                <w:szCs w:val="22"/>
              </w:rPr>
              <w:t>Advanced directives</w:t>
            </w:r>
            <w:r>
              <w:rPr>
                <w:rFonts w:cs="Calibri"/>
                <w:szCs w:val="22"/>
              </w:rPr>
              <w:t>.</w:t>
            </w:r>
          </w:p>
          <w:p w:rsidR="00091FA6" w:rsidRPr="005854E8" w:rsidRDefault="00091FA6" w:rsidP="009F1FF3">
            <w:pPr>
              <w:widowControl/>
              <w:numPr>
                <w:ilvl w:val="0"/>
                <w:numId w:val="7"/>
              </w:numPr>
              <w:tabs>
                <w:tab w:val="clear" w:pos="360"/>
                <w:tab w:val="num" w:pos="180"/>
              </w:tabs>
              <w:overflowPunct/>
              <w:autoSpaceDE/>
              <w:autoSpaceDN/>
              <w:adjustRightInd/>
              <w:ind w:left="180" w:hanging="180"/>
              <w:rPr>
                <w:rFonts w:cs="Calibri"/>
                <w:szCs w:val="22"/>
              </w:rPr>
            </w:pPr>
            <w:r>
              <w:rPr>
                <w:rFonts w:cs="Calibri"/>
                <w:szCs w:val="22"/>
              </w:rPr>
              <w:t>Resources tangata whai ora/tangata whaikaha find helpful.</w:t>
            </w:r>
          </w:p>
          <w:p w:rsidR="00B34513" w:rsidRPr="008B33CF" w:rsidRDefault="00B34513" w:rsidP="00D47289">
            <w:pPr>
              <w:widowControl/>
              <w:overflowPunct/>
              <w:autoSpaceDE/>
              <w:autoSpaceDN/>
              <w:adjustRightInd/>
              <w:rPr>
                <w:rFonts w:cs="Calibri"/>
                <w:szCs w:val="22"/>
              </w:rPr>
            </w:pPr>
          </w:p>
        </w:tc>
      </w:tr>
    </w:tbl>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662858" w:rsidRPr="00E86066" w:rsidTr="00B34513">
        <w:trPr>
          <w:trHeight w:val="565"/>
        </w:trPr>
        <w:tc>
          <w:tcPr>
            <w:tcW w:w="9782" w:type="dxa"/>
            <w:shd w:val="clear" w:color="auto" w:fill="F2F2F2" w:themeFill="background1" w:themeFillShade="F2"/>
          </w:tcPr>
          <w:p w:rsidR="00662858" w:rsidRDefault="00662858" w:rsidP="00F36567">
            <w:pPr>
              <w:jc w:val="both"/>
              <w:rPr>
                <w:rFonts w:cs="Calibri"/>
                <w:b/>
                <w:szCs w:val="22"/>
              </w:rPr>
            </w:pPr>
            <w:r w:rsidRPr="00662858">
              <w:rPr>
                <w:rFonts w:cs="Calibri"/>
                <w:b/>
                <w:szCs w:val="22"/>
              </w:rPr>
              <w:t>Cultural consideration</w:t>
            </w:r>
          </w:p>
          <w:p w:rsidR="00662858" w:rsidRPr="00662858" w:rsidRDefault="00662858" w:rsidP="00F36567">
            <w:pPr>
              <w:jc w:val="both"/>
              <w:rPr>
                <w:rFonts w:cs="Calibri"/>
                <w:b/>
                <w:szCs w:val="22"/>
              </w:rPr>
            </w:pPr>
          </w:p>
        </w:tc>
      </w:tr>
      <w:tr w:rsidR="00662858" w:rsidRPr="00E86066" w:rsidTr="00B34513">
        <w:trPr>
          <w:trHeight w:val="279"/>
        </w:trPr>
        <w:tc>
          <w:tcPr>
            <w:tcW w:w="9782" w:type="dxa"/>
            <w:shd w:val="clear" w:color="auto" w:fill="FFFFFF" w:themeFill="background1"/>
          </w:tcPr>
          <w:p w:rsidR="00662858" w:rsidRPr="00662858" w:rsidRDefault="00B34513" w:rsidP="00362759">
            <w:pPr>
              <w:pStyle w:val="ListParagraph"/>
              <w:numPr>
                <w:ilvl w:val="0"/>
                <w:numId w:val="13"/>
              </w:numPr>
              <w:jc w:val="both"/>
              <w:rPr>
                <w:rFonts w:cs="Calibri"/>
                <w:szCs w:val="22"/>
              </w:rPr>
            </w:pPr>
            <w:r>
              <w:rPr>
                <w:rFonts w:cs="Calibri"/>
                <w:szCs w:val="22"/>
              </w:rPr>
              <w:t xml:space="preserve">We implement </w:t>
            </w:r>
            <w:r w:rsidR="00662858" w:rsidRPr="00662858">
              <w:rPr>
                <w:rFonts w:cs="Calibri"/>
                <w:szCs w:val="22"/>
              </w:rPr>
              <w:t>our organisation’s values and principles</w:t>
            </w:r>
            <w:r>
              <w:rPr>
                <w:rFonts w:cs="Calibri"/>
                <w:szCs w:val="22"/>
              </w:rPr>
              <w:t xml:space="preserve"> as this </w:t>
            </w:r>
            <w:r w:rsidR="00662858" w:rsidRPr="00662858">
              <w:rPr>
                <w:rFonts w:cs="Calibri"/>
                <w:szCs w:val="22"/>
              </w:rPr>
              <w:t xml:space="preserve">is </w:t>
            </w:r>
            <w:r>
              <w:rPr>
                <w:rFonts w:cs="Calibri"/>
                <w:szCs w:val="22"/>
              </w:rPr>
              <w:t xml:space="preserve">vital </w:t>
            </w:r>
            <w:r w:rsidR="00662858" w:rsidRPr="00662858">
              <w:rPr>
                <w:rFonts w:cs="Calibri"/>
                <w:szCs w:val="22"/>
              </w:rPr>
              <w:t>in maintaining a restraint-free service.</w:t>
            </w:r>
            <w:r w:rsidR="00662858">
              <w:rPr>
                <w:rFonts w:cs="Calibri"/>
                <w:szCs w:val="22"/>
              </w:rPr>
              <w:t xml:space="preserve"> Apply those values </w:t>
            </w:r>
            <w:r w:rsidR="00362759">
              <w:rPr>
                <w:rFonts w:cs="Calibri"/>
                <w:szCs w:val="22"/>
              </w:rPr>
              <w:t xml:space="preserve">when </w:t>
            </w:r>
            <w:r w:rsidR="00662858">
              <w:rPr>
                <w:rFonts w:cs="Calibri"/>
                <w:szCs w:val="22"/>
              </w:rPr>
              <w:t>de</w:t>
            </w:r>
            <w:r w:rsidR="00362759">
              <w:rPr>
                <w:rFonts w:cs="Calibri"/>
                <w:szCs w:val="22"/>
              </w:rPr>
              <w:t>fusing a situation</w:t>
            </w:r>
            <w:r w:rsidR="00662858">
              <w:rPr>
                <w:rFonts w:cs="Calibri"/>
                <w:szCs w:val="22"/>
              </w:rPr>
              <w:t>!</w:t>
            </w:r>
          </w:p>
        </w:tc>
      </w:tr>
      <w:tr w:rsidR="00662858" w:rsidRPr="00E86066" w:rsidTr="00B34513">
        <w:trPr>
          <w:trHeight w:val="279"/>
        </w:trPr>
        <w:tc>
          <w:tcPr>
            <w:tcW w:w="9782" w:type="dxa"/>
            <w:shd w:val="clear" w:color="auto" w:fill="FFFFFF" w:themeFill="background1"/>
          </w:tcPr>
          <w:p w:rsidR="00662858" w:rsidRDefault="00B34513" w:rsidP="00662858">
            <w:pPr>
              <w:pStyle w:val="ListParagraph"/>
              <w:numPr>
                <w:ilvl w:val="0"/>
                <w:numId w:val="13"/>
              </w:numPr>
              <w:jc w:val="both"/>
              <w:rPr>
                <w:rFonts w:cs="Calibri"/>
                <w:szCs w:val="22"/>
              </w:rPr>
            </w:pPr>
            <w:r>
              <w:rPr>
                <w:rFonts w:cs="Calibri"/>
                <w:szCs w:val="22"/>
              </w:rPr>
              <w:t>We i</w:t>
            </w:r>
            <w:r w:rsidR="00662858">
              <w:rPr>
                <w:rFonts w:cs="Calibri"/>
                <w:szCs w:val="22"/>
              </w:rPr>
              <w:t xml:space="preserve">mplement the tikanga of the culture tangata whai ora/tangata whaikaha treasures. </w:t>
            </w:r>
          </w:p>
          <w:p w:rsidR="00662858" w:rsidRPr="00662858" w:rsidRDefault="00662858" w:rsidP="00662858">
            <w:pPr>
              <w:jc w:val="both"/>
              <w:rPr>
                <w:rFonts w:cs="Calibri"/>
                <w:szCs w:val="22"/>
              </w:rPr>
            </w:pPr>
          </w:p>
        </w:tc>
      </w:tr>
      <w:tr w:rsidR="00662858" w:rsidRPr="00E86066" w:rsidTr="00B34513">
        <w:trPr>
          <w:trHeight w:val="279"/>
        </w:trPr>
        <w:tc>
          <w:tcPr>
            <w:tcW w:w="9782" w:type="dxa"/>
            <w:shd w:val="clear" w:color="auto" w:fill="FFFFFF" w:themeFill="background1"/>
          </w:tcPr>
          <w:p w:rsidR="00662858" w:rsidRPr="00662858" w:rsidRDefault="00B34513" w:rsidP="00B34513">
            <w:pPr>
              <w:pStyle w:val="ListParagraph"/>
              <w:numPr>
                <w:ilvl w:val="0"/>
                <w:numId w:val="13"/>
              </w:numPr>
              <w:jc w:val="both"/>
              <w:rPr>
                <w:rFonts w:cs="Calibri"/>
                <w:szCs w:val="22"/>
              </w:rPr>
            </w:pPr>
            <w:r>
              <w:rPr>
                <w:rFonts w:cs="Calibri"/>
                <w:szCs w:val="22"/>
              </w:rPr>
              <w:t xml:space="preserve">We </w:t>
            </w:r>
            <w:r w:rsidR="00662858">
              <w:rPr>
                <w:rFonts w:cs="Calibri"/>
                <w:szCs w:val="22"/>
              </w:rPr>
              <w:t>us</w:t>
            </w:r>
            <w:r>
              <w:rPr>
                <w:rFonts w:cs="Calibri"/>
                <w:szCs w:val="22"/>
              </w:rPr>
              <w:t>e</w:t>
            </w:r>
            <w:r w:rsidR="00662858">
              <w:rPr>
                <w:rFonts w:cs="Calibri"/>
                <w:szCs w:val="22"/>
              </w:rPr>
              <w:t xml:space="preserve"> interpreters or staff that speak the language </w:t>
            </w:r>
            <w:r w:rsidR="007B68D1">
              <w:rPr>
                <w:rFonts w:cs="Calibri"/>
                <w:szCs w:val="22"/>
              </w:rPr>
              <w:t>of tangata</w:t>
            </w:r>
            <w:r w:rsidR="00662858">
              <w:rPr>
                <w:rFonts w:cs="Calibri"/>
                <w:szCs w:val="22"/>
              </w:rPr>
              <w:t xml:space="preserve"> whai ora/tangata whaikaha who is distressed. </w:t>
            </w:r>
          </w:p>
        </w:tc>
      </w:tr>
      <w:tr w:rsidR="00B34513" w:rsidRPr="00E86066" w:rsidTr="00B34513">
        <w:trPr>
          <w:trHeight w:val="279"/>
        </w:trPr>
        <w:tc>
          <w:tcPr>
            <w:tcW w:w="9782" w:type="dxa"/>
            <w:shd w:val="clear" w:color="auto" w:fill="F2F2F2" w:themeFill="background1" w:themeFillShade="F2"/>
          </w:tcPr>
          <w:p w:rsidR="00B34513" w:rsidRDefault="00B34513" w:rsidP="00B34513">
            <w:pPr>
              <w:jc w:val="both"/>
              <w:rPr>
                <w:rFonts w:cs="Calibri"/>
                <w:b/>
                <w:szCs w:val="22"/>
              </w:rPr>
            </w:pPr>
            <w:r>
              <w:rPr>
                <w:rFonts w:cs="Calibri"/>
                <w:b/>
                <w:szCs w:val="22"/>
              </w:rPr>
              <w:t xml:space="preserve">Safe service provision </w:t>
            </w:r>
          </w:p>
          <w:p w:rsidR="00B34513" w:rsidRPr="00B34513" w:rsidRDefault="00B34513" w:rsidP="00B34513">
            <w:pPr>
              <w:jc w:val="both"/>
              <w:rPr>
                <w:rFonts w:cs="Calibri"/>
                <w:b/>
                <w:szCs w:val="22"/>
              </w:rPr>
            </w:pPr>
          </w:p>
        </w:tc>
      </w:tr>
      <w:tr w:rsidR="00B34513" w:rsidRPr="00E86066" w:rsidTr="00B34513">
        <w:trPr>
          <w:trHeight w:val="279"/>
        </w:trPr>
        <w:tc>
          <w:tcPr>
            <w:tcW w:w="9782" w:type="dxa"/>
            <w:shd w:val="clear" w:color="auto" w:fill="FFFFFF" w:themeFill="background1"/>
          </w:tcPr>
          <w:p w:rsidR="00B34513" w:rsidRPr="00B34513" w:rsidRDefault="00B34513" w:rsidP="00B34513">
            <w:pPr>
              <w:pStyle w:val="ListParagraph"/>
              <w:widowControl/>
              <w:numPr>
                <w:ilvl w:val="0"/>
                <w:numId w:val="14"/>
              </w:numPr>
              <w:overflowPunct/>
              <w:autoSpaceDE/>
              <w:autoSpaceDN/>
              <w:adjustRightInd/>
              <w:rPr>
                <w:rFonts w:cs="Calibri"/>
                <w:szCs w:val="22"/>
              </w:rPr>
            </w:pPr>
            <w:r w:rsidRPr="00B34513">
              <w:rPr>
                <w:rFonts w:cs="Calibri"/>
                <w:szCs w:val="22"/>
              </w:rPr>
              <w:t>We provide an emotional/spiritual safe space.</w:t>
            </w:r>
          </w:p>
          <w:p w:rsidR="00B34513" w:rsidRPr="00B34513" w:rsidRDefault="00B34513" w:rsidP="00B34513">
            <w:pPr>
              <w:jc w:val="both"/>
              <w:rPr>
                <w:rFonts w:cs="Calibri"/>
                <w:b/>
                <w:szCs w:val="22"/>
              </w:rPr>
            </w:pPr>
          </w:p>
        </w:tc>
      </w:tr>
      <w:tr w:rsidR="00B34513" w:rsidRPr="00E86066" w:rsidTr="00B34513">
        <w:trPr>
          <w:trHeight w:val="279"/>
        </w:trPr>
        <w:tc>
          <w:tcPr>
            <w:tcW w:w="9782" w:type="dxa"/>
            <w:shd w:val="clear" w:color="auto" w:fill="FFFFFF" w:themeFill="background1"/>
          </w:tcPr>
          <w:p w:rsidR="00B34513" w:rsidRPr="00B34513" w:rsidRDefault="00B34513" w:rsidP="00B34513">
            <w:pPr>
              <w:pStyle w:val="ListParagraph"/>
              <w:widowControl/>
              <w:numPr>
                <w:ilvl w:val="0"/>
                <w:numId w:val="14"/>
              </w:numPr>
              <w:tabs>
                <w:tab w:val="num" w:pos="142"/>
                <w:tab w:val="left" w:pos="2410"/>
              </w:tabs>
              <w:overflowPunct/>
              <w:autoSpaceDE/>
              <w:autoSpaceDN/>
              <w:adjustRightInd/>
              <w:rPr>
                <w:rFonts w:cs="Calibri"/>
                <w:szCs w:val="22"/>
              </w:rPr>
            </w:pPr>
            <w:r w:rsidRPr="00B34513">
              <w:rPr>
                <w:rFonts w:cs="Calibri"/>
                <w:szCs w:val="22"/>
              </w:rPr>
              <w:t xml:space="preserve">We do not tolerate the following behaviour by staff: </w:t>
            </w:r>
          </w:p>
          <w:p w:rsidR="00B34513" w:rsidRPr="00B34513" w:rsidRDefault="00B34513" w:rsidP="00842B6E">
            <w:pPr>
              <w:pStyle w:val="ListParagraph"/>
              <w:widowControl/>
              <w:numPr>
                <w:ilvl w:val="1"/>
                <w:numId w:val="4"/>
              </w:numPr>
              <w:tabs>
                <w:tab w:val="num" w:pos="142"/>
                <w:tab w:val="left" w:pos="2410"/>
              </w:tabs>
              <w:overflowPunct/>
              <w:autoSpaceDE/>
              <w:autoSpaceDN/>
              <w:adjustRightInd/>
              <w:rPr>
                <w:rFonts w:cs="Calibri"/>
                <w:szCs w:val="22"/>
              </w:rPr>
            </w:pPr>
            <w:r>
              <w:rPr>
                <w:rFonts w:cs="Calibri"/>
                <w:szCs w:val="22"/>
              </w:rPr>
              <w:t>N</w:t>
            </w:r>
            <w:r w:rsidRPr="00B34513">
              <w:rPr>
                <w:rFonts w:cs="Calibri"/>
                <w:szCs w:val="22"/>
              </w:rPr>
              <w:t>ot keeping arrangements</w:t>
            </w:r>
          </w:p>
          <w:p w:rsidR="00B34513" w:rsidRPr="008B33CF" w:rsidRDefault="00B34513" w:rsidP="00B34513">
            <w:pPr>
              <w:widowControl/>
              <w:numPr>
                <w:ilvl w:val="1"/>
                <w:numId w:val="4"/>
              </w:numPr>
              <w:overflowPunct/>
              <w:autoSpaceDE/>
              <w:autoSpaceDN/>
              <w:adjustRightInd/>
              <w:rPr>
                <w:rFonts w:cs="Calibri"/>
                <w:szCs w:val="22"/>
              </w:rPr>
            </w:pPr>
            <w:r>
              <w:rPr>
                <w:rFonts w:cs="Calibri"/>
                <w:szCs w:val="22"/>
              </w:rPr>
              <w:t>U</w:t>
            </w:r>
            <w:r w:rsidRPr="008B33CF">
              <w:rPr>
                <w:rFonts w:cs="Calibri"/>
                <w:szCs w:val="22"/>
              </w:rPr>
              <w:t>sing punishment to manage behaviour</w:t>
            </w:r>
          </w:p>
          <w:p w:rsidR="00B34513" w:rsidRPr="008B33CF" w:rsidRDefault="00B34513" w:rsidP="00B34513">
            <w:pPr>
              <w:widowControl/>
              <w:numPr>
                <w:ilvl w:val="1"/>
                <w:numId w:val="4"/>
              </w:numPr>
              <w:overflowPunct/>
              <w:autoSpaceDE/>
              <w:autoSpaceDN/>
              <w:adjustRightInd/>
              <w:rPr>
                <w:rFonts w:cs="Calibri"/>
                <w:szCs w:val="22"/>
              </w:rPr>
            </w:pPr>
            <w:r>
              <w:rPr>
                <w:rFonts w:cs="Calibri"/>
                <w:szCs w:val="22"/>
              </w:rPr>
              <w:t>G</w:t>
            </w:r>
            <w:r w:rsidRPr="008B33CF">
              <w:rPr>
                <w:rFonts w:cs="Calibri"/>
                <w:szCs w:val="22"/>
              </w:rPr>
              <w:t>iving mixed messages</w:t>
            </w:r>
          </w:p>
          <w:p w:rsidR="00B34513" w:rsidRPr="008B33CF" w:rsidRDefault="00B34513" w:rsidP="00B34513">
            <w:pPr>
              <w:widowControl/>
              <w:numPr>
                <w:ilvl w:val="1"/>
                <w:numId w:val="4"/>
              </w:numPr>
              <w:overflowPunct/>
              <w:autoSpaceDE/>
              <w:autoSpaceDN/>
              <w:adjustRightInd/>
              <w:rPr>
                <w:rFonts w:cs="Calibri"/>
                <w:szCs w:val="22"/>
              </w:rPr>
            </w:pPr>
            <w:r>
              <w:rPr>
                <w:rFonts w:cs="Calibri"/>
                <w:szCs w:val="22"/>
              </w:rPr>
              <w:t>U</w:t>
            </w:r>
            <w:r w:rsidRPr="008B33CF">
              <w:rPr>
                <w:rFonts w:cs="Calibri"/>
                <w:szCs w:val="22"/>
              </w:rPr>
              <w:t>nreasonably withholding information</w:t>
            </w:r>
          </w:p>
          <w:p w:rsidR="00B34513" w:rsidRPr="008B33CF" w:rsidRDefault="00B34513" w:rsidP="00B34513">
            <w:pPr>
              <w:widowControl/>
              <w:numPr>
                <w:ilvl w:val="1"/>
                <w:numId w:val="4"/>
              </w:numPr>
              <w:overflowPunct/>
              <w:autoSpaceDE/>
              <w:autoSpaceDN/>
              <w:adjustRightInd/>
              <w:rPr>
                <w:rFonts w:cs="Calibri"/>
                <w:szCs w:val="22"/>
              </w:rPr>
            </w:pPr>
            <w:r>
              <w:rPr>
                <w:rFonts w:cs="Calibri"/>
                <w:szCs w:val="22"/>
              </w:rPr>
              <w:t>R</w:t>
            </w:r>
            <w:r w:rsidRPr="008B33CF">
              <w:rPr>
                <w:rFonts w:cs="Calibri"/>
                <w:szCs w:val="22"/>
              </w:rPr>
              <w:t>efusing to answer question</w:t>
            </w:r>
          </w:p>
          <w:p w:rsidR="00B34513" w:rsidRPr="008B33CF" w:rsidRDefault="00B34513" w:rsidP="00B34513">
            <w:pPr>
              <w:widowControl/>
              <w:numPr>
                <w:ilvl w:val="1"/>
                <w:numId w:val="4"/>
              </w:numPr>
              <w:overflowPunct/>
              <w:autoSpaceDE/>
              <w:autoSpaceDN/>
              <w:adjustRightInd/>
              <w:rPr>
                <w:rFonts w:cs="Calibri"/>
                <w:szCs w:val="22"/>
              </w:rPr>
            </w:pPr>
            <w:r>
              <w:rPr>
                <w:rFonts w:cs="Calibri"/>
                <w:szCs w:val="22"/>
              </w:rPr>
              <w:t>E</w:t>
            </w:r>
            <w:r w:rsidRPr="008B33CF">
              <w:rPr>
                <w:rFonts w:cs="Calibri"/>
                <w:szCs w:val="22"/>
              </w:rPr>
              <w:t>motional outbursts</w:t>
            </w:r>
          </w:p>
          <w:p w:rsidR="00B34513" w:rsidRPr="00B34513" w:rsidRDefault="00B34513" w:rsidP="00B34513">
            <w:pPr>
              <w:widowControl/>
              <w:numPr>
                <w:ilvl w:val="1"/>
                <w:numId w:val="4"/>
              </w:numPr>
              <w:overflowPunct/>
              <w:autoSpaceDE/>
              <w:autoSpaceDN/>
              <w:adjustRightInd/>
              <w:rPr>
                <w:rFonts w:cs="Calibri"/>
                <w:b/>
                <w:szCs w:val="22"/>
              </w:rPr>
            </w:pPr>
            <w:r>
              <w:rPr>
                <w:rFonts w:cs="Calibri"/>
                <w:szCs w:val="22"/>
              </w:rPr>
              <w:t>U</w:t>
            </w:r>
            <w:r w:rsidRPr="008B33CF">
              <w:rPr>
                <w:rFonts w:cs="Calibri"/>
                <w:szCs w:val="22"/>
              </w:rPr>
              <w:t>ndervaluing, criticising or mock</w:t>
            </w:r>
            <w:r>
              <w:rPr>
                <w:rFonts w:cs="Calibri"/>
                <w:szCs w:val="22"/>
              </w:rPr>
              <w:t>.</w:t>
            </w:r>
          </w:p>
        </w:tc>
      </w:tr>
      <w:tr w:rsidR="00D47289" w:rsidRPr="00E86066" w:rsidTr="00B34513">
        <w:trPr>
          <w:trHeight w:val="279"/>
        </w:trPr>
        <w:tc>
          <w:tcPr>
            <w:tcW w:w="9782" w:type="dxa"/>
            <w:shd w:val="clear" w:color="auto" w:fill="FFFFFF" w:themeFill="background1"/>
          </w:tcPr>
          <w:p w:rsidR="00D47289" w:rsidRPr="008B33CF" w:rsidRDefault="00D47289" w:rsidP="00D47289">
            <w:pPr>
              <w:widowControl/>
              <w:numPr>
                <w:ilvl w:val="0"/>
                <w:numId w:val="14"/>
              </w:numPr>
              <w:overflowPunct/>
              <w:autoSpaceDE/>
              <w:autoSpaceDN/>
              <w:adjustRightInd/>
              <w:rPr>
                <w:rFonts w:cs="Calibri"/>
                <w:szCs w:val="22"/>
              </w:rPr>
            </w:pPr>
            <w:r>
              <w:rPr>
                <w:rFonts w:cs="Calibri"/>
                <w:szCs w:val="22"/>
              </w:rPr>
              <w:t>We i</w:t>
            </w:r>
            <w:r w:rsidRPr="008B33CF">
              <w:rPr>
                <w:rFonts w:cs="Calibri"/>
                <w:szCs w:val="22"/>
              </w:rPr>
              <w:t>mplement</w:t>
            </w:r>
            <w:r>
              <w:rPr>
                <w:rFonts w:cs="Calibri"/>
                <w:szCs w:val="22"/>
              </w:rPr>
              <w:t xml:space="preserve"> Ō Tātou Motika – Our Rights</w:t>
            </w:r>
            <w:r w:rsidRPr="008B33CF">
              <w:rPr>
                <w:rFonts w:cs="Calibri"/>
                <w:szCs w:val="22"/>
              </w:rPr>
              <w:t xml:space="preserve"> policies and procedures</w:t>
            </w:r>
            <w:r>
              <w:rPr>
                <w:rFonts w:cs="Calibri"/>
                <w:szCs w:val="22"/>
              </w:rPr>
              <w:t>.</w:t>
            </w:r>
          </w:p>
          <w:p w:rsidR="00D47289" w:rsidRPr="00D47289" w:rsidRDefault="00D47289" w:rsidP="00D47289">
            <w:pPr>
              <w:widowControl/>
              <w:overflowPunct/>
              <w:autoSpaceDE/>
              <w:autoSpaceDN/>
              <w:adjustRightInd/>
              <w:rPr>
                <w:rFonts w:cs="Calibri"/>
                <w:szCs w:val="22"/>
              </w:rPr>
            </w:pPr>
          </w:p>
        </w:tc>
      </w:tr>
      <w:tr w:rsidR="00D47289" w:rsidRPr="00E86066" w:rsidTr="00B34513">
        <w:trPr>
          <w:trHeight w:val="279"/>
        </w:trPr>
        <w:tc>
          <w:tcPr>
            <w:tcW w:w="9782" w:type="dxa"/>
            <w:shd w:val="clear" w:color="auto" w:fill="FFFFFF" w:themeFill="background1"/>
          </w:tcPr>
          <w:p w:rsidR="00D47289" w:rsidRDefault="00272336" w:rsidP="00CF6775">
            <w:pPr>
              <w:widowControl/>
              <w:numPr>
                <w:ilvl w:val="0"/>
                <w:numId w:val="14"/>
              </w:numPr>
              <w:overflowPunct/>
              <w:autoSpaceDE/>
              <w:autoSpaceDN/>
              <w:adjustRightInd/>
              <w:rPr>
                <w:rFonts w:cs="Calibri"/>
                <w:szCs w:val="22"/>
              </w:rPr>
            </w:pPr>
            <w:hyperlink r:id="rId26" w:history="1">
              <w:r w:rsidR="00D47289" w:rsidRPr="00D47289">
                <w:rPr>
                  <w:rStyle w:val="Hyperlink"/>
                  <w:rFonts w:cs="Calibri"/>
                  <w:szCs w:val="22"/>
                </w:rPr>
                <w:t>We Implement value informed practices</w:t>
              </w:r>
            </w:hyperlink>
            <w:r w:rsidR="00D47289">
              <w:rPr>
                <w:rStyle w:val="Hyperlink"/>
                <w:rFonts w:cs="Calibri"/>
                <w:szCs w:val="22"/>
              </w:rPr>
              <w:t xml:space="preserve">.  </w:t>
            </w:r>
          </w:p>
        </w:tc>
      </w:tr>
    </w:tbl>
    <w:p w:rsidR="00362759" w:rsidRDefault="00362759"/>
    <w:tbl>
      <w:tblPr>
        <w:tblStyle w:val="TableGrid"/>
        <w:tblW w:w="9782" w:type="dxa"/>
        <w:tblInd w:w="-289" w:type="dxa"/>
        <w:tblLook w:val="04A0" w:firstRow="1" w:lastRow="0" w:firstColumn="1" w:lastColumn="0" w:noHBand="0" w:noVBand="1"/>
      </w:tblPr>
      <w:tblGrid>
        <w:gridCol w:w="1985"/>
        <w:gridCol w:w="7797"/>
      </w:tblGrid>
      <w:tr w:rsidR="006B435D" w:rsidTr="006B435D">
        <w:tc>
          <w:tcPr>
            <w:tcW w:w="9782" w:type="dxa"/>
            <w:gridSpan w:val="2"/>
            <w:shd w:val="clear" w:color="auto" w:fill="F2F2F2" w:themeFill="background1" w:themeFillShade="F2"/>
          </w:tcPr>
          <w:p w:rsidR="006B435D" w:rsidRPr="006B435D" w:rsidRDefault="006B435D" w:rsidP="006B435D">
            <w:pPr>
              <w:rPr>
                <w:rFonts w:cs="Calibri"/>
                <w:b/>
                <w:color w:val="auto"/>
                <w:kern w:val="0"/>
                <w:sz w:val="24"/>
                <w:szCs w:val="24"/>
              </w:rPr>
            </w:pPr>
            <w:r w:rsidRPr="006B435D">
              <w:rPr>
                <w:rFonts w:cs="Calibri"/>
                <w:b/>
                <w:sz w:val="24"/>
                <w:szCs w:val="24"/>
              </w:rPr>
              <w:t>Top 10 De-Escalation Tips</w:t>
            </w:r>
            <w:r w:rsidR="001B23C0">
              <w:rPr>
                <w:rFonts w:cs="Calibri"/>
                <w:b/>
                <w:sz w:val="24"/>
                <w:szCs w:val="24"/>
              </w:rPr>
              <w:t xml:space="preserve"> </w:t>
            </w:r>
            <w:r>
              <w:rPr>
                <w:rFonts w:cs="Calibri"/>
                <w:b/>
                <w:sz w:val="24"/>
                <w:szCs w:val="24"/>
              </w:rPr>
              <w:t>(Crisis Prevention Institute)</w:t>
            </w:r>
          </w:p>
          <w:p w:rsidR="006B435D" w:rsidRDefault="006B435D" w:rsidP="00CB7640">
            <w:pPr>
              <w:rPr>
                <w:rFonts w:cs="Calibri"/>
                <w:szCs w:val="22"/>
              </w:rPr>
            </w:pPr>
          </w:p>
        </w:tc>
      </w:tr>
      <w:tr w:rsidR="006D7223" w:rsidTr="007B68D1">
        <w:tc>
          <w:tcPr>
            <w:tcW w:w="1985" w:type="dxa"/>
          </w:tcPr>
          <w:p w:rsidR="006D7223" w:rsidRPr="006D7223" w:rsidRDefault="006D7223" w:rsidP="00CB7640">
            <w:pPr>
              <w:rPr>
                <w:rFonts w:cs="Calibri"/>
                <w:szCs w:val="22"/>
              </w:rPr>
            </w:pPr>
            <w:r w:rsidRPr="006D7223">
              <w:rPr>
                <w:rStyle w:val="Strong"/>
                <w:rFonts w:cs="Calibri"/>
                <w:szCs w:val="22"/>
              </w:rPr>
              <w:t>Be Empathic and Non-judgmental</w:t>
            </w:r>
          </w:p>
        </w:tc>
        <w:tc>
          <w:tcPr>
            <w:tcW w:w="7797" w:type="dxa"/>
          </w:tcPr>
          <w:p w:rsidR="006D7223" w:rsidRDefault="006D7223" w:rsidP="001B23C0">
            <w:pPr>
              <w:pStyle w:val="Heading2"/>
              <w:jc w:val="both"/>
              <w:rPr>
                <w:rFonts w:ascii="Calibri" w:hAnsi="Calibri" w:cs="Calibri"/>
                <w:sz w:val="22"/>
                <w:szCs w:val="22"/>
              </w:rPr>
            </w:pPr>
            <w:r w:rsidRPr="006D7223">
              <w:rPr>
                <w:rFonts w:ascii="Calibri" w:hAnsi="Calibri" w:cs="Calibri"/>
                <w:color w:val="auto"/>
                <w:sz w:val="22"/>
                <w:szCs w:val="22"/>
              </w:rPr>
              <w:t>Do not judge or be dismissive of the feelings of the person in distress. Remember that the person’s feelings are real, whether or not you think those feelings are justified</w:t>
            </w:r>
            <w:r w:rsidRPr="006D7223">
              <w:rPr>
                <w:rStyle w:val="Emphasis"/>
                <w:rFonts w:ascii="Calibri" w:hAnsi="Calibri" w:cs="Calibri"/>
                <w:color w:val="auto"/>
                <w:sz w:val="22"/>
                <w:szCs w:val="22"/>
              </w:rPr>
              <w:t xml:space="preserve">. </w:t>
            </w:r>
            <w:r w:rsidRPr="006D7223">
              <w:rPr>
                <w:rFonts w:ascii="Calibri" w:hAnsi="Calibri" w:cs="Calibri"/>
                <w:color w:val="auto"/>
                <w:sz w:val="22"/>
                <w:szCs w:val="22"/>
              </w:rPr>
              <w:t>Respect those feelings, keeping in mind that whatever the person is going through could be the most important event in their life at the moment.</w:t>
            </w:r>
          </w:p>
        </w:tc>
      </w:tr>
      <w:tr w:rsidR="006D7223" w:rsidTr="007B68D1">
        <w:tc>
          <w:tcPr>
            <w:tcW w:w="1985" w:type="dxa"/>
          </w:tcPr>
          <w:p w:rsidR="006D7223" w:rsidRDefault="001B23C0" w:rsidP="00CB7640">
            <w:pPr>
              <w:rPr>
                <w:rFonts w:cs="Calibri"/>
                <w:szCs w:val="22"/>
              </w:rPr>
            </w:pPr>
            <w:r w:rsidRPr="006D7223">
              <w:rPr>
                <w:rStyle w:val="Strong"/>
                <w:rFonts w:cs="Calibri"/>
                <w:szCs w:val="22"/>
              </w:rPr>
              <w:t>Respect Personal Space</w:t>
            </w:r>
            <w:r w:rsidRPr="006D7223">
              <w:rPr>
                <w:rFonts w:cs="Calibri"/>
                <w:szCs w:val="22"/>
              </w:rPr>
              <w:br/>
            </w:r>
          </w:p>
        </w:tc>
        <w:tc>
          <w:tcPr>
            <w:tcW w:w="7797" w:type="dxa"/>
          </w:tcPr>
          <w:p w:rsidR="006D7223" w:rsidRDefault="001B23C0" w:rsidP="001B23C0">
            <w:pPr>
              <w:widowControl/>
              <w:overflowPunct/>
              <w:autoSpaceDE/>
              <w:autoSpaceDN/>
              <w:adjustRightInd/>
              <w:spacing w:before="100" w:beforeAutospacing="1" w:after="100" w:afterAutospacing="1"/>
              <w:jc w:val="both"/>
              <w:rPr>
                <w:rFonts w:cs="Calibri"/>
                <w:szCs w:val="22"/>
              </w:rPr>
            </w:pPr>
            <w:r w:rsidRPr="006D7223">
              <w:rPr>
                <w:rFonts w:cs="Calibri"/>
                <w:szCs w:val="22"/>
              </w:rPr>
              <w:t>Be aware of your position, posture, and proximity when interacting with a person in distress. Allowing personal space shows respect, keeps you safer, and tends to decrease a person’s anxiety. If you must enter someone’s personal space to provide care, explain what you’re doing so the person feels less confused and frightened.</w:t>
            </w:r>
            <w:r>
              <w:rPr>
                <w:rFonts w:cs="Calibri"/>
                <w:szCs w:val="22"/>
              </w:rPr>
              <w:t xml:space="preserve"> </w:t>
            </w:r>
          </w:p>
        </w:tc>
      </w:tr>
      <w:tr w:rsidR="006D7223" w:rsidTr="007B68D1">
        <w:tc>
          <w:tcPr>
            <w:tcW w:w="1985" w:type="dxa"/>
          </w:tcPr>
          <w:p w:rsidR="006D7223" w:rsidRDefault="001B23C0" w:rsidP="001B23C0">
            <w:pPr>
              <w:rPr>
                <w:rFonts w:cs="Calibri"/>
                <w:szCs w:val="22"/>
              </w:rPr>
            </w:pPr>
            <w:r w:rsidRPr="006D7223">
              <w:rPr>
                <w:rStyle w:val="Strong"/>
                <w:rFonts w:cs="Calibri"/>
                <w:szCs w:val="22"/>
              </w:rPr>
              <w:t>Use Non-threatening Non-verbals</w:t>
            </w:r>
          </w:p>
        </w:tc>
        <w:tc>
          <w:tcPr>
            <w:tcW w:w="7797" w:type="dxa"/>
          </w:tcPr>
          <w:p w:rsidR="006D7223" w:rsidRDefault="001B23C0" w:rsidP="00D57A28">
            <w:pPr>
              <w:widowControl/>
              <w:overflowPunct/>
              <w:autoSpaceDE/>
              <w:autoSpaceDN/>
              <w:adjustRightInd/>
              <w:spacing w:before="100" w:beforeAutospacing="1" w:after="100" w:afterAutospacing="1"/>
              <w:jc w:val="both"/>
              <w:rPr>
                <w:rFonts w:cs="Calibri"/>
                <w:szCs w:val="22"/>
              </w:rPr>
            </w:pPr>
            <w:r w:rsidRPr="006D7223">
              <w:rPr>
                <w:rFonts w:cs="Calibri"/>
                <w:szCs w:val="22"/>
              </w:rPr>
              <w:t>The more a person is in distress, the less they hear your words—and the more they react to your non-verbal communication. Be mindful of your gestures, facial expressions, movements, and tone of voice. Keeping your tone and body language neutral will go a long way toward defusing a situation.</w:t>
            </w:r>
          </w:p>
        </w:tc>
      </w:tr>
      <w:tr w:rsidR="006D7223" w:rsidTr="007B68D1">
        <w:tc>
          <w:tcPr>
            <w:tcW w:w="1985" w:type="dxa"/>
          </w:tcPr>
          <w:p w:rsidR="006D7223" w:rsidRDefault="00D57A28" w:rsidP="00CB7640">
            <w:pPr>
              <w:rPr>
                <w:rFonts w:cs="Calibri"/>
                <w:szCs w:val="22"/>
              </w:rPr>
            </w:pPr>
            <w:r w:rsidRPr="006D7223">
              <w:rPr>
                <w:rStyle w:val="Strong"/>
                <w:rFonts w:cs="Calibri"/>
                <w:szCs w:val="22"/>
              </w:rPr>
              <w:t>Keep Your Emotional Brain in Check</w:t>
            </w:r>
            <w:r w:rsidRPr="006D7223">
              <w:rPr>
                <w:rFonts w:cs="Calibri"/>
                <w:szCs w:val="22"/>
              </w:rPr>
              <w:br/>
            </w:r>
          </w:p>
        </w:tc>
        <w:tc>
          <w:tcPr>
            <w:tcW w:w="7797" w:type="dxa"/>
          </w:tcPr>
          <w:p w:rsidR="006D7223" w:rsidRDefault="00D57A28" w:rsidP="00D57A28">
            <w:pPr>
              <w:widowControl/>
              <w:overflowPunct/>
              <w:autoSpaceDE/>
              <w:autoSpaceDN/>
              <w:adjustRightInd/>
              <w:spacing w:before="100" w:beforeAutospacing="1" w:after="100" w:afterAutospacing="1"/>
              <w:jc w:val="both"/>
              <w:rPr>
                <w:rFonts w:cs="Calibri"/>
                <w:szCs w:val="22"/>
              </w:rPr>
            </w:pPr>
            <w:r w:rsidRPr="006D7223">
              <w:rPr>
                <w:rFonts w:cs="Calibri"/>
                <w:szCs w:val="22"/>
              </w:rPr>
              <w:t>Remain calm, rational, and professional. While you can’t control the person’s behaviour, how you respond to their behaviour will have a direct effect on whether the situation escalates or defuses. Positive thoughts like “I can handle this” and “I know what to do” will help you maintain your own rationality and calm the person down.</w:t>
            </w:r>
          </w:p>
        </w:tc>
      </w:tr>
      <w:tr w:rsidR="006D7223" w:rsidTr="007B68D1">
        <w:tc>
          <w:tcPr>
            <w:tcW w:w="1985" w:type="dxa"/>
          </w:tcPr>
          <w:p w:rsidR="006D7223" w:rsidRDefault="00D57A28" w:rsidP="00CB7640">
            <w:pPr>
              <w:rPr>
                <w:rFonts w:cs="Calibri"/>
                <w:szCs w:val="22"/>
              </w:rPr>
            </w:pPr>
            <w:r w:rsidRPr="00D57A28">
              <w:rPr>
                <w:rStyle w:val="Strong"/>
                <w:rFonts w:cs="Calibri"/>
                <w:szCs w:val="22"/>
              </w:rPr>
              <w:t>Focus on Feelings</w:t>
            </w:r>
            <w:r w:rsidRPr="00D57A28">
              <w:rPr>
                <w:rFonts w:cs="Calibri"/>
                <w:szCs w:val="22"/>
              </w:rPr>
              <w:br/>
            </w:r>
          </w:p>
        </w:tc>
        <w:tc>
          <w:tcPr>
            <w:tcW w:w="7797" w:type="dxa"/>
          </w:tcPr>
          <w:p w:rsidR="006D7223" w:rsidRDefault="00D57A28" w:rsidP="00D57A28">
            <w:pPr>
              <w:widowControl/>
              <w:overflowPunct/>
              <w:autoSpaceDE/>
              <w:autoSpaceDN/>
              <w:adjustRightInd/>
              <w:spacing w:before="100" w:beforeAutospacing="1" w:after="100" w:afterAutospacing="1"/>
              <w:jc w:val="both"/>
              <w:rPr>
                <w:rFonts w:cs="Calibri"/>
                <w:szCs w:val="22"/>
              </w:rPr>
            </w:pPr>
            <w:r w:rsidRPr="00D57A28">
              <w:rPr>
                <w:rFonts w:cs="Calibri"/>
                <w:szCs w:val="22"/>
              </w:rPr>
              <w:t>Facts are important, but how a person feels is the heart of the matter</w:t>
            </w:r>
            <w:r w:rsidRPr="00D57A28">
              <w:rPr>
                <w:rStyle w:val="Emphasis"/>
                <w:rFonts w:cs="Calibri"/>
                <w:szCs w:val="22"/>
              </w:rPr>
              <w:t xml:space="preserve">. </w:t>
            </w:r>
            <w:r w:rsidRPr="00D57A28">
              <w:rPr>
                <w:rFonts w:cs="Calibri"/>
                <w:szCs w:val="22"/>
              </w:rPr>
              <w:t>Yet some people have trouble identifying how they feel about what’s happening to them. Watch and listen carefully for the person’s real message. Try saying something like “That must be scary.” Supportive words like these will let the person know that you understand what’s happening—and you may get a positive response.</w:t>
            </w:r>
          </w:p>
        </w:tc>
      </w:tr>
      <w:tr w:rsidR="006D7223" w:rsidTr="007B68D1">
        <w:tc>
          <w:tcPr>
            <w:tcW w:w="1985" w:type="dxa"/>
          </w:tcPr>
          <w:p w:rsidR="006D7223" w:rsidRDefault="00D57A28" w:rsidP="00CB7640">
            <w:pPr>
              <w:rPr>
                <w:rFonts w:cs="Calibri"/>
                <w:szCs w:val="22"/>
              </w:rPr>
            </w:pPr>
            <w:r w:rsidRPr="00D57A28">
              <w:rPr>
                <w:rStyle w:val="Strong"/>
                <w:rFonts w:cs="Calibri"/>
                <w:szCs w:val="22"/>
              </w:rPr>
              <w:t>Ignore Challenging Questions</w:t>
            </w:r>
            <w:r w:rsidRPr="00D57A28">
              <w:rPr>
                <w:rFonts w:cs="Calibri"/>
                <w:szCs w:val="22"/>
              </w:rPr>
              <w:br/>
            </w:r>
          </w:p>
        </w:tc>
        <w:tc>
          <w:tcPr>
            <w:tcW w:w="7797" w:type="dxa"/>
          </w:tcPr>
          <w:p w:rsidR="006D7223" w:rsidRDefault="00D57A28" w:rsidP="00D57A28">
            <w:pPr>
              <w:widowControl/>
              <w:overflowPunct/>
              <w:autoSpaceDE/>
              <w:autoSpaceDN/>
              <w:adjustRightInd/>
              <w:spacing w:before="100" w:beforeAutospacing="1" w:after="100" w:afterAutospacing="1"/>
              <w:jc w:val="both"/>
              <w:rPr>
                <w:rFonts w:cs="Calibri"/>
                <w:szCs w:val="22"/>
              </w:rPr>
            </w:pPr>
            <w:r w:rsidRPr="00D57A28">
              <w:rPr>
                <w:rFonts w:cs="Calibri"/>
                <w:szCs w:val="22"/>
              </w:rPr>
              <w:t>Engaging with people who ask challenging questions is rarely productive. When a person challenges your authority, redirect their attention to the issue at hand. Ignore the challenge, but not the person. Bring their focus back to how you can work together to solve the problem.</w:t>
            </w:r>
          </w:p>
        </w:tc>
      </w:tr>
      <w:tr w:rsidR="006D7223" w:rsidTr="007B68D1">
        <w:tc>
          <w:tcPr>
            <w:tcW w:w="1985" w:type="dxa"/>
          </w:tcPr>
          <w:p w:rsidR="006D7223" w:rsidRDefault="00D57A28" w:rsidP="00CB7640">
            <w:pPr>
              <w:rPr>
                <w:rFonts w:cs="Calibri"/>
                <w:szCs w:val="22"/>
              </w:rPr>
            </w:pPr>
            <w:r w:rsidRPr="00D57A28">
              <w:rPr>
                <w:rStyle w:val="Strong"/>
                <w:rFonts w:cs="Calibri"/>
                <w:szCs w:val="22"/>
              </w:rPr>
              <w:t>Set Limits</w:t>
            </w:r>
            <w:r w:rsidRPr="00D57A28">
              <w:rPr>
                <w:rFonts w:cs="Calibri"/>
                <w:szCs w:val="22"/>
              </w:rPr>
              <w:br/>
            </w:r>
          </w:p>
        </w:tc>
        <w:tc>
          <w:tcPr>
            <w:tcW w:w="7797" w:type="dxa"/>
          </w:tcPr>
          <w:p w:rsidR="006D7223" w:rsidRDefault="00D57A28" w:rsidP="00D57A28">
            <w:pPr>
              <w:widowControl/>
              <w:overflowPunct/>
              <w:autoSpaceDE/>
              <w:autoSpaceDN/>
              <w:adjustRightInd/>
              <w:spacing w:before="100" w:beforeAutospacing="1" w:after="100" w:afterAutospacing="1"/>
              <w:jc w:val="both"/>
              <w:rPr>
                <w:rFonts w:cs="Calibri"/>
                <w:szCs w:val="22"/>
              </w:rPr>
            </w:pPr>
            <w:r w:rsidRPr="00D57A28">
              <w:rPr>
                <w:rFonts w:cs="Calibri"/>
                <w:szCs w:val="22"/>
              </w:rPr>
              <w:t>As a person progresses through a crisis, give them respectful, simple, and reasonable limits. Offer concise and respectful choices and consequences. A person who’s upset may not be able to focus on everything you say. Be clear, speak simply, and offer the positive choice first.</w:t>
            </w:r>
          </w:p>
        </w:tc>
      </w:tr>
      <w:tr w:rsidR="006D7223" w:rsidTr="007B68D1">
        <w:tc>
          <w:tcPr>
            <w:tcW w:w="1985" w:type="dxa"/>
          </w:tcPr>
          <w:p w:rsidR="006D7223" w:rsidRDefault="007B68D1" w:rsidP="00CB7640">
            <w:pPr>
              <w:rPr>
                <w:rFonts w:cs="Calibri"/>
                <w:szCs w:val="22"/>
              </w:rPr>
            </w:pPr>
            <w:r w:rsidRPr="00D57A28">
              <w:rPr>
                <w:rStyle w:val="Strong"/>
                <w:rFonts w:cs="Calibri"/>
                <w:szCs w:val="22"/>
              </w:rPr>
              <w:t>Choose Wisely What You Insist Upon</w:t>
            </w:r>
            <w:r w:rsidRPr="00D57A28">
              <w:rPr>
                <w:rFonts w:cs="Calibri"/>
                <w:szCs w:val="22"/>
              </w:rPr>
              <w:br/>
            </w:r>
          </w:p>
        </w:tc>
        <w:tc>
          <w:tcPr>
            <w:tcW w:w="7797" w:type="dxa"/>
          </w:tcPr>
          <w:p w:rsidR="006D7223" w:rsidRDefault="007B68D1" w:rsidP="007B68D1">
            <w:pPr>
              <w:widowControl/>
              <w:overflowPunct/>
              <w:autoSpaceDE/>
              <w:autoSpaceDN/>
              <w:adjustRightInd/>
              <w:spacing w:before="100" w:beforeAutospacing="1" w:after="100" w:afterAutospacing="1"/>
              <w:rPr>
                <w:rFonts w:cs="Calibri"/>
                <w:szCs w:val="22"/>
              </w:rPr>
            </w:pPr>
            <w:r w:rsidRPr="00D57A28">
              <w:rPr>
                <w:rFonts w:cs="Calibri"/>
                <w:szCs w:val="22"/>
              </w:rPr>
              <w:t>It’s important to be thoughtful in deciding which rules are negotiable and which are not. For example, if a person doesn’t want to shower in the morning, can you allow them to choose the time of day that feels best for them? If you can offer a person options and flexibility, you may be able to avoid unnecessary altercations.</w:t>
            </w:r>
          </w:p>
        </w:tc>
      </w:tr>
      <w:tr w:rsidR="007B68D1" w:rsidTr="007B68D1">
        <w:tc>
          <w:tcPr>
            <w:tcW w:w="1985" w:type="dxa"/>
          </w:tcPr>
          <w:p w:rsidR="007B68D1" w:rsidRPr="00D57A28" w:rsidRDefault="007B68D1" w:rsidP="00CB7640">
            <w:pPr>
              <w:rPr>
                <w:rStyle w:val="Strong"/>
                <w:rFonts w:cs="Calibri"/>
                <w:szCs w:val="22"/>
              </w:rPr>
            </w:pPr>
            <w:r w:rsidRPr="00D57A28">
              <w:rPr>
                <w:rStyle w:val="Strong"/>
                <w:rFonts w:cs="Calibri"/>
                <w:szCs w:val="22"/>
              </w:rPr>
              <w:t>Allow Silence for Reflection</w:t>
            </w:r>
            <w:r w:rsidRPr="00D57A28">
              <w:rPr>
                <w:rFonts w:cs="Calibri"/>
                <w:szCs w:val="22"/>
              </w:rPr>
              <w:br/>
            </w:r>
          </w:p>
        </w:tc>
        <w:tc>
          <w:tcPr>
            <w:tcW w:w="7797" w:type="dxa"/>
          </w:tcPr>
          <w:p w:rsidR="007B68D1" w:rsidRPr="00D57A28" w:rsidRDefault="007B68D1" w:rsidP="007B68D1">
            <w:pPr>
              <w:widowControl/>
              <w:overflowPunct/>
              <w:autoSpaceDE/>
              <w:autoSpaceDN/>
              <w:adjustRightInd/>
              <w:spacing w:before="100" w:beforeAutospacing="1" w:after="100" w:afterAutospacing="1"/>
              <w:rPr>
                <w:rFonts w:cs="Calibri"/>
                <w:szCs w:val="22"/>
              </w:rPr>
            </w:pPr>
            <w:r w:rsidRPr="00D57A28">
              <w:rPr>
                <w:rFonts w:cs="Calibri"/>
                <w:szCs w:val="22"/>
              </w:rPr>
              <w:t>We’ve all experienced awkward silences. While it may seem counterintuitive to let moments of silence occur, sometimes it’s the best choice. It can give a person a chance to reflect on what’s happening, and how they need to proceed. Silence can be a powerful communication tool.</w:t>
            </w:r>
          </w:p>
        </w:tc>
      </w:tr>
      <w:tr w:rsidR="007B68D1" w:rsidTr="007B68D1">
        <w:tc>
          <w:tcPr>
            <w:tcW w:w="1985" w:type="dxa"/>
          </w:tcPr>
          <w:p w:rsidR="007B68D1" w:rsidRPr="00D57A28" w:rsidRDefault="007B68D1" w:rsidP="00CB7640">
            <w:pPr>
              <w:rPr>
                <w:rStyle w:val="Strong"/>
                <w:rFonts w:cs="Calibri"/>
                <w:szCs w:val="22"/>
              </w:rPr>
            </w:pPr>
            <w:r w:rsidRPr="00D57A28">
              <w:rPr>
                <w:rStyle w:val="Strong"/>
                <w:rFonts w:cs="Calibri"/>
                <w:szCs w:val="22"/>
              </w:rPr>
              <w:t>Allow Time for Decisions</w:t>
            </w:r>
            <w:r w:rsidRPr="00D57A28">
              <w:rPr>
                <w:rFonts w:cs="Calibri"/>
                <w:szCs w:val="22"/>
              </w:rPr>
              <w:br/>
            </w:r>
          </w:p>
        </w:tc>
        <w:tc>
          <w:tcPr>
            <w:tcW w:w="7797" w:type="dxa"/>
          </w:tcPr>
          <w:p w:rsidR="007B68D1" w:rsidRPr="00D57A28" w:rsidRDefault="007B68D1" w:rsidP="00C241A7">
            <w:pPr>
              <w:widowControl/>
              <w:overflowPunct/>
              <w:autoSpaceDE/>
              <w:autoSpaceDN/>
              <w:adjustRightInd/>
              <w:spacing w:before="100" w:beforeAutospacing="1" w:after="100" w:afterAutospacing="1"/>
              <w:rPr>
                <w:rFonts w:cs="Calibri"/>
                <w:szCs w:val="22"/>
              </w:rPr>
            </w:pPr>
            <w:bookmarkStart w:id="0" w:name="_GoBack"/>
            <w:bookmarkEnd w:id="0"/>
            <w:r w:rsidRPr="00D57A28">
              <w:rPr>
                <w:rFonts w:cs="Calibri"/>
                <w:szCs w:val="22"/>
              </w:rPr>
              <w:t>When a person is upset, they may not be able to think clearly. Give them a few moments to think through what you’ve said. A person’s stress rises when they feel rushed. Allowing time brings calm.</w:t>
            </w:r>
          </w:p>
        </w:tc>
      </w:tr>
    </w:tbl>
    <w:p w:rsidR="006D7223" w:rsidRDefault="006D7223" w:rsidP="00CF6775">
      <w:pPr>
        <w:rPr>
          <w:rFonts w:cs="Calibri"/>
          <w:szCs w:val="22"/>
        </w:rPr>
      </w:pPr>
    </w:p>
    <w:sectPr w:rsidR="006D7223" w:rsidSect="00F54FF1">
      <w:headerReference w:type="even" r:id="rId27"/>
      <w:headerReference w:type="default" r:id="rId28"/>
      <w:footerReference w:type="default" r:id="rId29"/>
      <w:headerReference w:type="first" r:id="rId30"/>
      <w:pgSz w:w="11906" w:h="16838"/>
      <w:pgMar w:top="1276" w:right="1286" w:bottom="993"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36" w:rsidRDefault="00272336">
      <w:r>
        <w:separator/>
      </w:r>
    </w:p>
  </w:endnote>
  <w:endnote w:type="continuationSeparator" w:id="0">
    <w:p w:rsidR="00272336" w:rsidRDefault="0027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onScrip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03"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3"/>
      <w:gridCol w:w="822"/>
      <w:gridCol w:w="1709"/>
      <w:gridCol w:w="1266"/>
      <w:gridCol w:w="1263"/>
      <w:gridCol w:w="921"/>
      <w:gridCol w:w="1118"/>
      <w:gridCol w:w="1550"/>
      <w:gridCol w:w="1245"/>
    </w:tblGrid>
    <w:tr w:rsidR="00BE2CF6" w:rsidRPr="00022CBE" w:rsidTr="002111D6">
      <w:trPr>
        <w:trHeight w:val="306"/>
      </w:trPr>
      <w:tc>
        <w:tcPr>
          <w:tcW w:w="955" w:type="dxa"/>
          <w:tcBorders>
            <w:top w:val="single" w:sz="4" w:space="0" w:color="auto"/>
            <w:left w:val="single" w:sz="4" w:space="0" w:color="auto"/>
            <w:bottom w:val="single" w:sz="4" w:space="0" w:color="auto"/>
            <w:right w:val="single" w:sz="4" w:space="0" w:color="auto"/>
          </w:tcBorders>
          <w:hideMark/>
        </w:tcPr>
        <w:p w:rsidR="00BE2CF6" w:rsidRPr="00022CBE" w:rsidRDefault="00BE2CF6" w:rsidP="00BE2CF6">
          <w:pPr>
            <w:pStyle w:val="Footer"/>
            <w:rPr>
              <w:rFonts w:asciiTheme="minorHAnsi" w:hAnsiTheme="minorHAnsi" w:cstheme="minorHAnsi"/>
              <w:b/>
              <w:sz w:val="22"/>
              <w:szCs w:val="22"/>
            </w:rPr>
          </w:pPr>
          <w:r w:rsidRPr="00022CBE">
            <w:rPr>
              <w:rFonts w:asciiTheme="minorHAnsi" w:hAnsiTheme="minorHAnsi" w:cstheme="minorHAnsi"/>
              <w:sz w:val="22"/>
              <w:szCs w:val="22"/>
            </w:rPr>
            <w:t>Version:</w:t>
          </w:r>
        </w:p>
      </w:tc>
      <w:tc>
        <w:tcPr>
          <w:tcW w:w="453" w:type="dxa"/>
          <w:tcBorders>
            <w:top w:val="single" w:sz="4" w:space="0" w:color="auto"/>
            <w:left w:val="single" w:sz="4" w:space="0" w:color="auto"/>
            <w:bottom w:val="single" w:sz="4" w:space="0" w:color="auto"/>
            <w:right w:val="single" w:sz="4" w:space="0" w:color="auto"/>
          </w:tcBorders>
          <w:hideMark/>
        </w:tcPr>
        <w:p w:rsidR="00BE2CF6" w:rsidRPr="00022CBE" w:rsidRDefault="00BE2CF6" w:rsidP="00990B05">
          <w:pPr>
            <w:pStyle w:val="Footer"/>
            <w:rPr>
              <w:rFonts w:asciiTheme="minorHAnsi" w:hAnsiTheme="minorHAnsi" w:cstheme="minorHAnsi"/>
              <w:b/>
              <w:sz w:val="22"/>
              <w:szCs w:val="22"/>
            </w:rPr>
          </w:pPr>
          <w:r w:rsidRPr="00022CBE">
            <w:rPr>
              <w:rFonts w:asciiTheme="minorHAnsi" w:hAnsiTheme="minorHAnsi" w:cstheme="minorHAnsi"/>
              <w:sz w:val="22"/>
              <w:szCs w:val="22"/>
            </w:rPr>
            <w:t>V</w:t>
          </w:r>
          <w:r w:rsidR="00990B05">
            <w:rPr>
              <w:rFonts w:asciiTheme="minorHAnsi" w:hAnsiTheme="minorHAnsi" w:cstheme="minorHAnsi"/>
              <w:sz w:val="22"/>
              <w:szCs w:val="22"/>
            </w:rPr>
            <w:t>3</w:t>
          </w:r>
        </w:p>
      </w:tc>
      <w:tc>
        <w:tcPr>
          <w:tcW w:w="823" w:type="dxa"/>
          <w:tcBorders>
            <w:top w:val="single" w:sz="4" w:space="0" w:color="auto"/>
            <w:left w:val="single" w:sz="4" w:space="0" w:color="auto"/>
            <w:bottom w:val="single" w:sz="4" w:space="0" w:color="auto"/>
            <w:right w:val="single" w:sz="4" w:space="0" w:color="auto"/>
          </w:tcBorders>
          <w:hideMark/>
        </w:tcPr>
        <w:p w:rsidR="00BE2CF6" w:rsidRPr="00022CBE" w:rsidRDefault="00BE2CF6" w:rsidP="00BE2CF6">
          <w:pPr>
            <w:pStyle w:val="Footer"/>
            <w:rPr>
              <w:rFonts w:asciiTheme="minorHAnsi" w:hAnsiTheme="minorHAnsi" w:cstheme="minorHAnsi"/>
              <w:b/>
              <w:sz w:val="22"/>
              <w:szCs w:val="22"/>
            </w:rPr>
          </w:pPr>
          <w:r w:rsidRPr="00022CBE">
            <w:rPr>
              <w:rFonts w:asciiTheme="minorHAnsi" w:hAnsiTheme="minorHAnsi" w:cstheme="minorHAnsi"/>
              <w:sz w:val="22"/>
              <w:szCs w:val="22"/>
            </w:rPr>
            <w:t xml:space="preserve">Issued </w:t>
          </w:r>
        </w:p>
      </w:tc>
      <w:tc>
        <w:tcPr>
          <w:tcW w:w="1724" w:type="dxa"/>
          <w:tcBorders>
            <w:top w:val="single" w:sz="4" w:space="0" w:color="auto"/>
            <w:left w:val="single" w:sz="4" w:space="0" w:color="auto"/>
            <w:bottom w:val="single" w:sz="4" w:space="0" w:color="auto"/>
            <w:right w:val="single" w:sz="4" w:space="0" w:color="auto"/>
          </w:tcBorders>
          <w:hideMark/>
        </w:tcPr>
        <w:p w:rsidR="00BE2CF6" w:rsidRPr="00022CBE" w:rsidRDefault="00BE2CF6" w:rsidP="00990B05">
          <w:pPr>
            <w:pStyle w:val="Footer"/>
            <w:rPr>
              <w:rFonts w:asciiTheme="minorHAnsi" w:hAnsiTheme="minorHAnsi" w:cstheme="minorHAnsi"/>
              <w:b/>
              <w:sz w:val="22"/>
              <w:szCs w:val="22"/>
            </w:rPr>
          </w:pPr>
          <w:r>
            <w:rPr>
              <w:rFonts w:asciiTheme="minorHAnsi" w:hAnsiTheme="minorHAnsi" w:cstheme="minorHAnsi"/>
              <w:sz w:val="22"/>
              <w:szCs w:val="22"/>
            </w:rPr>
            <w:t xml:space="preserve">September </w:t>
          </w:r>
          <w:r w:rsidRPr="00022CBE">
            <w:rPr>
              <w:rFonts w:asciiTheme="minorHAnsi" w:hAnsiTheme="minorHAnsi" w:cstheme="minorHAnsi"/>
              <w:sz w:val="22"/>
              <w:szCs w:val="22"/>
            </w:rPr>
            <w:t>20</w:t>
          </w:r>
          <w:r w:rsidR="00990B05">
            <w:rPr>
              <w:rFonts w:asciiTheme="minorHAnsi" w:hAnsiTheme="minorHAnsi" w:cstheme="minorHAnsi"/>
              <w:sz w:val="22"/>
              <w:szCs w:val="22"/>
            </w:rPr>
            <w:t>23</w:t>
          </w:r>
        </w:p>
      </w:tc>
      <w:tc>
        <w:tcPr>
          <w:tcW w:w="1276" w:type="dxa"/>
          <w:tcBorders>
            <w:top w:val="single" w:sz="4" w:space="0" w:color="auto"/>
            <w:left w:val="single" w:sz="4" w:space="0" w:color="auto"/>
            <w:bottom w:val="single" w:sz="4" w:space="0" w:color="auto"/>
            <w:right w:val="single" w:sz="4" w:space="0" w:color="auto"/>
          </w:tcBorders>
          <w:hideMark/>
        </w:tcPr>
        <w:p w:rsidR="00BE2CF6" w:rsidRPr="00022CBE" w:rsidRDefault="00BE2CF6" w:rsidP="00BE2CF6">
          <w:pPr>
            <w:pStyle w:val="Footer"/>
            <w:rPr>
              <w:rFonts w:asciiTheme="minorHAnsi" w:hAnsiTheme="minorHAnsi" w:cstheme="minorHAnsi"/>
              <w:b/>
              <w:sz w:val="22"/>
              <w:szCs w:val="22"/>
            </w:rPr>
          </w:pPr>
          <w:r w:rsidRPr="00022CBE">
            <w:rPr>
              <w:rFonts w:asciiTheme="minorHAnsi" w:hAnsiTheme="minorHAnsi" w:cstheme="minorHAnsi"/>
              <w:sz w:val="22"/>
              <w:szCs w:val="22"/>
            </w:rPr>
            <w:t>Created by:</w:t>
          </w:r>
        </w:p>
      </w:tc>
      <w:tc>
        <w:tcPr>
          <w:tcW w:w="1264" w:type="dxa"/>
          <w:tcBorders>
            <w:top w:val="single" w:sz="4" w:space="0" w:color="auto"/>
            <w:left w:val="single" w:sz="4" w:space="0" w:color="auto"/>
            <w:bottom w:val="single" w:sz="4" w:space="0" w:color="auto"/>
            <w:right w:val="single" w:sz="4" w:space="0" w:color="auto"/>
          </w:tcBorders>
          <w:hideMark/>
        </w:tcPr>
        <w:p w:rsidR="00BE2CF6" w:rsidRPr="00022CBE" w:rsidRDefault="00BE2CF6" w:rsidP="00BE2CF6">
          <w:pPr>
            <w:pStyle w:val="Footer"/>
            <w:rPr>
              <w:rFonts w:asciiTheme="minorHAnsi" w:hAnsiTheme="minorHAnsi" w:cstheme="minorHAnsi"/>
              <w:b/>
              <w:sz w:val="22"/>
              <w:szCs w:val="22"/>
            </w:rPr>
          </w:pPr>
          <w:r w:rsidRPr="00022CBE">
            <w:rPr>
              <w:rFonts w:asciiTheme="minorHAnsi" w:hAnsiTheme="minorHAnsi" w:cstheme="minorHAnsi"/>
              <w:sz w:val="22"/>
              <w:szCs w:val="22"/>
            </w:rPr>
            <w:t>GSHarnisch</w:t>
          </w:r>
        </w:p>
      </w:tc>
      <w:tc>
        <w:tcPr>
          <w:tcW w:w="862" w:type="dxa"/>
        </w:tcPr>
        <w:p w:rsidR="00BE2CF6" w:rsidRPr="00022CBE" w:rsidRDefault="00BE2CF6" w:rsidP="00BE2CF6">
          <w:pPr>
            <w:pStyle w:val="Footer"/>
            <w:rPr>
              <w:rFonts w:asciiTheme="minorHAnsi" w:hAnsiTheme="minorHAnsi" w:cstheme="minorHAnsi"/>
              <w:b/>
              <w:sz w:val="22"/>
              <w:szCs w:val="22"/>
            </w:rPr>
          </w:pPr>
          <w:r w:rsidRPr="00022CBE">
            <w:rPr>
              <w:rFonts w:asciiTheme="minorHAnsi" w:hAnsiTheme="minorHAnsi" w:cstheme="minorHAnsi"/>
              <w:sz w:val="22"/>
              <w:szCs w:val="22"/>
            </w:rPr>
            <w:t>Review</w:t>
          </w:r>
          <w:r w:rsidR="00990B05">
            <w:rPr>
              <w:rFonts w:asciiTheme="minorHAnsi" w:hAnsiTheme="minorHAnsi" w:cstheme="minorHAnsi"/>
              <w:sz w:val="22"/>
              <w:szCs w:val="22"/>
            </w:rPr>
            <w:t>:</w:t>
          </w:r>
          <w:r w:rsidRPr="00022CBE">
            <w:rPr>
              <w:rFonts w:asciiTheme="minorHAnsi" w:hAnsiTheme="minorHAnsi" w:cstheme="minorHAnsi"/>
              <w:sz w:val="22"/>
              <w:szCs w:val="22"/>
            </w:rPr>
            <w:t xml:space="preserve"> </w:t>
          </w:r>
        </w:p>
      </w:tc>
      <w:tc>
        <w:tcPr>
          <w:tcW w:w="1111" w:type="dxa"/>
        </w:tcPr>
        <w:p w:rsidR="00BE2CF6" w:rsidRPr="00022CBE" w:rsidRDefault="00BE2CF6" w:rsidP="00990B05">
          <w:pPr>
            <w:pStyle w:val="Footer"/>
            <w:rPr>
              <w:rFonts w:asciiTheme="minorHAnsi" w:hAnsiTheme="minorHAnsi" w:cstheme="minorHAnsi"/>
              <w:b/>
              <w:sz w:val="22"/>
              <w:szCs w:val="22"/>
            </w:rPr>
          </w:pPr>
          <w:r>
            <w:rPr>
              <w:rFonts w:asciiTheme="minorHAnsi" w:hAnsiTheme="minorHAnsi" w:cstheme="minorHAnsi"/>
              <w:sz w:val="22"/>
              <w:szCs w:val="22"/>
            </w:rPr>
            <w:t>Sept.</w:t>
          </w:r>
          <w:r w:rsidRPr="00022CBE">
            <w:rPr>
              <w:rFonts w:asciiTheme="minorHAnsi" w:hAnsiTheme="minorHAnsi" w:cstheme="minorHAnsi"/>
              <w:sz w:val="22"/>
              <w:szCs w:val="22"/>
            </w:rPr>
            <w:t>202</w:t>
          </w:r>
          <w:r w:rsidR="00990B05">
            <w:rPr>
              <w:rFonts w:asciiTheme="minorHAnsi" w:hAnsiTheme="minorHAnsi" w:cstheme="minorHAnsi"/>
              <w:sz w:val="22"/>
              <w:szCs w:val="22"/>
            </w:rPr>
            <w:t>6</w:t>
          </w:r>
        </w:p>
      </w:tc>
      <w:tc>
        <w:tcPr>
          <w:tcW w:w="1560" w:type="dxa"/>
        </w:tcPr>
        <w:p w:rsidR="00BE2CF6" w:rsidRPr="00022CBE" w:rsidRDefault="00BE2CF6" w:rsidP="00BE2CF6">
          <w:pPr>
            <w:pStyle w:val="Footer"/>
            <w:rPr>
              <w:rFonts w:asciiTheme="minorHAnsi" w:hAnsiTheme="minorHAnsi" w:cstheme="minorHAnsi"/>
              <w:b/>
              <w:sz w:val="22"/>
              <w:szCs w:val="22"/>
            </w:rPr>
          </w:pPr>
          <w:r w:rsidRPr="00022CBE">
            <w:rPr>
              <w:rFonts w:asciiTheme="minorHAnsi" w:hAnsiTheme="minorHAnsi" w:cstheme="minorHAnsi"/>
              <w:sz w:val="22"/>
              <w:szCs w:val="22"/>
            </w:rPr>
            <w:t>Authorised by:</w:t>
          </w:r>
        </w:p>
      </w:tc>
      <w:tc>
        <w:tcPr>
          <w:tcW w:w="1275" w:type="dxa"/>
        </w:tcPr>
        <w:p w:rsidR="00BE2CF6" w:rsidRPr="00022CBE" w:rsidRDefault="00BE2CF6" w:rsidP="00BE2CF6">
          <w:pPr>
            <w:pStyle w:val="Footer"/>
            <w:rPr>
              <w:rFonts w:asciiTheme="minorHAnsi" w:hAnsiTheme="minorHAnsi" w:cstheme="minorHAnsi"/>
              <w:b/>
              <w:sz w:val="22"/>
              <w:szCs w:val="22"/>
            </w:rPr>
          </w:pPr>
        </w:p>
      </w:tc>
    </w:tr>
  </w:tbl>
  <w:p w:rsidR="0036536A" w:rsidRDefault="00DC4787" w:rsidP="00DC4787">
    <w:pPr>
      <w:pStyle w:val="Footer"/>
      <w:tabs>
        <w:tab w:val="left" w:pos="3930"/>
        <w:tab w:val="right" w:pos="918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36" w:rsidRDefault="00272336">
      <w:r>
        <w:separator/>
      </w:r>
    </w:p>
  </w:footnote>
  <w:footnote w:type="continuationSeparator" w:id="0">
    <w:p w:rsidR="00272336" w:rsidRDefault="00272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DA" w:rsidRDefault="00043D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F6" w:rsidRDefault="00BE2CF6" w:rsidP="00BE2CF6">
    <w:pPr>
      <w:pStyle w:val="Header"/>
      <w:tabs>
        <w:tab w:val="left" w:pos="8430"/>
        <w:tab w:val="right" w:pos="10204"/>
      </w:tabs>
      <w:jc w:val="right"/>
      <w:rPr>
        <w:rFonts w:cs="Calibri"/>
        <w:b/>
        <w:bCs/>
        <w:sz w:val="22"/>
        <w:szCs w:val="22"/>
      </w:rPr>
    </w:pPr>
    <w:r>
      <w:t xml:space="preserve">                                                                                                                                                   </w:t>
    </w:r>
    <w:r>
      <w:rPr>
        <w:rFonts w:ascii="PrestonScript" w:hAnsi="PrestonScript"/>
        <w:color w:val="800000"/>
        <w:sz w:val="28"/>
        <w:szCs w:val="28"/>
      </w:rPr>
      <w:t xml:space="preserve"> </w:t>
    </w:r>
    <w:r w:rsidRPr="00CF655B">
      <w:rPr>
        <w:rFonts w:cs="Calibri"/>
        <w:sz w:val="22"/>
        <w:szCs w:val="22"/>
      </w:rPr>
      <w:t xml:space="preserve">Page </w:t>
    </w:r>
    <w:r w:rsidRPr="00CF655B">
      <w:rPr>
        <w:rFonts w:cs="Calibri"/>
        <w:b/>
        <w:bCs/>
        <w:sz w:val="22"/>
        <w:szCs w:val="22"/>
      </w:rPr>
      <w:fldChar w:fldCharType="begin"/>
    </w:r>
    <w:r w:rsidRPr="00CF655B">
      <w:rPr>
        <w:rFonts w:cs="Calibri"/>
        <w:b/>
        <w:bCs/>
        <w:sz w:val="22"/>
        <w:szCs w:val="22"/>
      </w:rPr>
      <w:instrText xml:space="preserve"> PAGE </w:instrText>
    </w:r>
    <w:r w:rsidRPr="00CF655B">
      <w:rPr>
        <w:rFonts w:cs="Calibri"/>
        <w:b/>
        <w:bCs/>
        <w:sz w:val="22"/>
        <w:szCs w:val="22"/>
      </w:rPr>
      <w:fldChar w:fldCharType="separate"/>
    </w:r>
    <w:r w:rsidR="00272336">
      <w:rPr>
        <w:rFonts w:cs="Calibri"/>
        <w:b/>
        <w:bCs/>
        <w:noProof/>
        <w:sz w:val="22"/>
        <w:szCs w:val="22"/>
      </w:rPr>
      <w:t>1</w:t>
    </w:r>
    <w:r w:rsidRPr="00CF655B">
      <w:rPr>
        <w:rFonts w:cs="Calibri"/>
        <w:b/>
        <w:bCs/>
        <w:sz w:val="22"/>
        <w:szCs w:val="22"/>
      </w:rPr>
      <w:fldChar w:fldCharType="end"/>
    </w:r>
    <w:r w:rsidRPr="00CF655B">
      <w:rPr>
        <w:rFonts w:cs="Calibri"/>
        <w:sz w:val="22"/>
        <w:szCs w:val="22"/>
      </w:rPr>
      <w:t xml:space="preserve"> of </w:t>
    </w:r>
    <w:r w:rsidRPr="00CF655B">
      <w:rPr>
        <w:rFonts w:cs="Calibri"/>
        <w:b/>
        <w:bCs/>
        <w:sz w:val="22"/>
        <w:szCs w:val="22"/>
      </w:rPr>
      <w:fldChar w:fldCharType="begin"/>
    </w:r>
    <w:r w:rsidRPr="00CF655B">
      <w:rPr>
        <w:rFonts w:cs="Calibri"/>
        <w:b/>
        <w:bCs/>
        <w:sz w:val="22"/>
        <w:szCs w:val="22"/>
      </w:rPr>
      <w:instrText xml:space="preserve"> NUMPAGES  </w:instrText>
    </w:r>
    <w:r w:rsidRPr="00CF655B">
      <w:rPr>
        <w:rFonts w:cs="Calibri"/>
        <w:b/>
        <w:bCs/>
        <w:sz w:val="22"/>
        <w:szCs w:val="22"/>
      </w:rPr>
      <w:fldChar w:fldCharType="separate"/>
    </w:r>
    <w:r w:rsidR="00272336">
      <w:rPr>
        <w:rFonts w:cs="Calibri"/>
        <w:b/>
        <w:bCs/>
        <w:noProof/>
        <w:sz w:val="22"/>
        <w:szCs w:val="22"/>
      </w:rPr>
      <w:t>1</w:t>
    </w:r>
    <w:r w:rsidRPr="00CF655B">
      <w:rPr>
        <w:rFonts w:cs="Calibri"/>
        <w:b/>
        <w:bCs/>
        <w:sz w:val="22"/>
        <w:szCs w:val="22"/>
      </w:rPr>
      <w:fldChar w:fldCharType="end"/>
    </w:r>
  </w:p>
  <w:p w:rsidR="00BE2CF6" w:rsidRPr="00BE2CF6" w:rsidRDefault="00BE2CF6" w:rsidP="00BE2CF6">
    <w:pPr>
      <w:pStyle w:val="Header"/>
      <w:tabs>
        <w:tab w:val="left" w:pos="8430"/>
        <w:tab w:val="right" w:pos="10204"/>
      </w:tabs>
      <w:jc w:val="center"/>
      <w:rPr>
        <w:rFonts w:cs="Calibri"/>
        <w:sz w:val="28"/>
        <w:szCs w:val="28"/>
      </w:rPr>
    </w:pPr>
    <w:r>
      <w:rPr>
        <w:rFonts w:cs="Calibri"/>
        <w:b/>
        <w:bCs/>
        <w:sz w:val="28"/>
        <w:szCs w:val="28"/>
      </w:rPr>
      <w:t>Ma</w:t>
    </w:r>
    <w:r w:rsidR="00B532AF">
      <w:rPr>
        <w:rFonts w:cs="Calibri"/>
        <w:b/>
        <w:bCs/>
        <w:sz w:val="28"/>
        <w:szCs w:val="28"/>
      </w:rPr>
      <w:t>intaining</w:t>
    </w:r>
    <w:r>
      <w:rPr>
        <w:rFonts w:cs="Calibri"/>
        <w:b/>
        <w:bCs/>
        <w:sz w:val="28"/>
        <w:szCs w:val="28"/>
      </w:rPr>
      <w:t xml:space="preserve"> a Restraint Free Environment</w:t>
    </w:r>
  </w:p>
  <w:p w:rsidR="00B25076" w:rsidRPr="00E86066" w:rsidRDefault="00B25076" w:rsidP="00BE2CF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DDA" w:rsidRDefault="00043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5896"/>
    <w:multiLevelType w:val="hybridMultilevel"/>
    <w:tmpl w:val="972AA5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4375A3"/>
    <w:multiLevelType w:val="hybridMultilevel"/>
    <w:tmpl w:val="68F4E6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4AF1FF7"/>
    <w:multiLevelType w:val="hybridMultilevel"/>
    <w:tmpl w:val="076ACF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28B5FAA"/>
    <w:multiLevelType w:val="multilevel"/>
    <w:tmpl w:val="6B1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D0104"/>
    <w:multiLevelType w:val="hybridMultilevel"/>
    <w:tmpl w:val="2EC81E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745054"/>
    <w:multiLevelType w:val="hybridMultilevel"/>
    <w:tmpl w:val="D69CC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3156A6"/>
    <w:multiLevelType w:val="hybridMultilevel"/>
    <w:tmpl w:val="CC3CD1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24225CD"/>
    <w:multiLevelType w:val="hybridMultilevel"/>
    <w:tmpl w:val="E324A050"/>
    <w:lvl w:ilvl="0" w:tplc="79F065F6">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0709EA"/>
    <w:multiLevelType w:val="hybridMultilevel"/>
    <w:tmpl w:val="7E68DE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76D4A4E"/>
    <w:multiLevelType w:val="hybridMultilevel"/>
    <w:tmpl w:val="AD8083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94C75D7"/>
    <w:multiLevelType w:val="hybridMultilevel"/>
    <w:tmpl w:val="38462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7B15053"/>
    <w:multiLevelType w:val="hybridMultilevel"/>
    <w:tmpl w:val="AF88827C"/>
    <w:lvl w:ilvl="0" w:tplc="79F065F6">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EF57A7"/>
    <w:multiLevelType w:val="hybridMultilevel"/>
    <w:tmpl w:val="C8D047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A20241"/>
    <w:multiLevelType w:val="hybridMultilevel"/>
    <w:tmpl w:val="43E65F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71164"/>
    <w:multiLevelType w:val="multilevel"/>
    <w:tmpl w:val="C822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06F76"/>
    <w:multiLevelType w:val="hybridMultilevel"/>
    <w:tmpl w:val="88F252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3D173D8"/>
    <w:multiLevelType w:val="hybridMultilevel"/>
    <w:tmpl w:val="CF849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954144"/>
    <w:multiLevelType w:val="hybridMultilevel"/>
    <w:tmpl w:val="4C0E16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CF2115E"/>
    <w:multiLevelType w:val="hybridMultilevel"/>
    <w:tmpl w:val="D1564A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F523633"/>
    <w:multiLevelType w:val="hybridMultilevel"/>
    <w:tmpl w:val="0A56E94A"/>
    <w:lvl w:ilvl="0" w:tplc="79F065F6">
      <w:start w:val="1"/>
      <w:numFmt w:val="bullet"/>
      <w:lvlText w:val=""/>
      <w:lvlJc w:val="left"/>
      <w:pPr>
        <w:ind w:left="720" w:hanging="360"/>
      </w:pPr>
      <w:rPr>
        <w:rFonts w:ascii="Wingdings" w:hAnsi="Wingdings"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17"/>
  </w:num>
  <w:num w:numId="5">
    <w:abstractNumId w:val="12"/>
  </w:num>
  <w:num w:numId="6">
    <w:abstractNumId w:val="5"/>
  </w:num>
  <w:num w:numId="7">
    <w:abstractNumId w:val="15"/>
  </w:num>
  <w:num w:numId="8">
    <w:abstractNumId w:val="0"/>
  </w:num>
  <w:num w:numId="9">
    <w:abstractNumId w:val="9"/>
  </w:num>
  <w:num w:numId="10">
    <w:abstractNumId w:val="14"/>
  </w:num>
  <w:num w:numId="11">
    <w:abstractNumId w:val="3"/>
  </w:num>
  <w:num w:numId="12">
    <w:abstractNumId w:val="6"/>
  </w:num>
  <w:num w:numId="13">
    <w:abstractNumId w:val="2"/>
  </w:num>
  <w:num w:numId="14">
    <w:abstractNumId w:val="19"/>
  </w:num>
  <w:num w:numId="15">
    <w:abstractNumId w:val="7"/>
  </w:num>
  <w:num w:numId="16">
    <w:abstractNumId w:val="11"/>
  </w:num>
  <w:num w:numId="17">
    <w:abstractNumId w:val="18"/>
  </w:num>
  <w:num w:numId="18">
    <w:abstractNumId w:val="1"/>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20"/>
    <w:rsid w:val="00011FE8"/>
    <w:rsid w:val="00036B60"/>
    <w:rsid w:val="00043DDA"/>
    <w:rsid w:val="00047B27"/>
    <w:rsid w:val="0005472D"/>
    <w:rsid w:val="0006144F"/>
    <w:rsid w:val="000809CF"/>
    <w:rsid w:val="00081EAD"/>
    <w:rsid w:val="00091FA6"/>
    <w:rsid w:val="000B1F0F"/>
    <w:rsid w:val="000E1BD9"/>
    <w:rsid w:val="000E2690"/>
    <w:rsid w:val="000E3F34"/>
    <w:rsid w:val="00104229"/>
    <w:rsid w:val="0011785C"/>
    <w:rsid w:val="00134CA3"/>
    <w:rsid w:val="00145BC9"/>
    <w:rsid w:val="001562B1"/>
    <w:rsid w:val="00164C4F"/>
    <w:rsid w:val="001664E7"/>
    <w:rsid w:val="00170A5E"/>
    <w:rsid w:val="00177FCE"/>
    <w:rsid w:val="001B0718"/>
    <w:rsid w:val="001B23C0"/>
    <w:rsid w:val="001D3D6C"/>
    <w:rsid w:val="001D695B"/>
    <w:rsid w:val="001D72C4"/>
    <w:rsid w:val="001E4D13"/>
    <w:rsid w:val="001F6BB9"/>
    <w:rsid w:val="00207A05"/>
    <w:rsid w:val="00227466"/>
    <w:rsid w:val="00227B8F"/>
    <w:rsid w:val="002306B9"/>
    <w:rsid w:val="00241268"/>
    <w:rsid w:val="00246316"/>
    <w:rsid w:val="00254296"/>
    <w:rsid w:val="00272336"/>
    <w:rsid w:val="0028154A"/>
    <w:rsid w:val="002815A1"/>
    <w:rsid w:val="00287197"/>
    <w:rsid w:val="0029145B"/>
    <w:rsid w:val="002A09C8"/>
    <w:rsid w:val="002B0893"/>
    <w:rsid w:val="002B0BA9"/>
    <w:rsid w:val="002C3EE6"/>
    <w:rsid w:val="002C6B36"/>
    <w:rsid w:val="002D41AF"/>
    <w:rsid w:val="002E0A58"/>
    <w:rsid w:val="002E5B42"/>
    <w:rsid w:val="002E7761"/>
    <w:rsid w:val="002F6DAA"/>
    <w:rsid w:val="00323881"/>
    <w:rsid w:val="00324991"/>
    <w:rsid w:val="003469B6"/>
    <w:rsid w:val="00347F77"/>
    <w:rsid w:val="00351738"/>
    <w:rsid w:val="00351958"/>
    <w:rsid w:val="00362759"/>
    <w:rsid w:val="0036536A"/>
    <w:rsid w:val="003A3C50"/>
    <w:rsid w:val="003C1BA7"/>
    <w:rsid w:val="003C2C38"/>
    <w:rsid w:val="003F2B94"/>
    <w:rsid w:val="00407573"/>
    <w:rsid w:val="00421537"/>
    <w:rsid w:val="00431D12"/>
    <w:rsid w:val="00445E59"/>
    <w:rsid w:val="00453D20"/>
    <w:rsid w:val="00472795"/>
    <w:rsid w:val="00477FC3"/>
    <w:rsid w:val="004B012E"/>
    <w:rsid w:val="004C5070"/>
    <w:rsid w:val="004D4FAC"/>
    <w:rsid w:val="004D5212"/>
    <w:rsid w:val="004E5BC7"/>
    <w:rsid w:val="004F1536"/>
    <w:rsid w:val="004F6E7B"/>
    <w:rsid w:val="00542BEB"/>
    <w:rsid w:val="00546555"/>
    <w:rsid w:val="00583736"/>
    <w:rsid w:val="005854E8"/>
    <w:rsid w:val="00590580"/>
    <w:rsid w:val="00594852"/>
    <w:rsid w:val="005B38C9"/>
    <w:rsid w:val="005B3966"/>
    <w:rsid w:val="005D1A82"/>
    <w:rsid w:val="005D4B02"/>
    <w:rsid w:val="005E18D5"/>
    <w:rsid w:val="005F2DBA"/>
    <w:rsid w:val="006007CA"/>
    <w:rsid w:val="006218A3"/>
    <w:rsid w:val="00635731"/>
    <w:rsid w:val="006374FC"/>
    <w:rsid w:val="006463C2"/>
    <w:rsid w:val="00656AF4"/>
    <w:rsid w:val="00662858"/>
    <w:rsid w:val="00666B1C"/>
    <w:rsid w:val="0067299A"/>
    <w:rsid w:val="006B435D"/>
    <w:rsid w:val="006D055C"/>
    <w:rsid w:val="006D7223"/>
    <w:rsid w:val="006E7761"/>
    <w:rsid w:val="006F697E"/>
    <w:rsid w:val="00731271"/>
    <w:rsid w:val="0074005E"/>
    <w:rsid w:val="007470CD"/>
    <w:rsid w:val="00771D21"/>
    <w:rsid w:val="007767C3"/>
    <w:rsid w:val="00783C35"/>
    <w:rsid w:val="00795C06"/>
    <w:rsid w:val="007A34B5"/>
    <w:rsid w:val="007A621C"/>
    <w:rsid w:val="007A7E8E"/>
    <w:rsid w:val="007B0919"/>
    <w:rsid w:val="007B68D1"/>
    <w:rsid w:val="007B7EF8"/>
    <w:rsid w:val="007D47E9"/>
    <w:rsid w:val="007E5B4C"/>
    <w:rsid w:val="007F7734"/>
    <w:rsid w:val="00815AF1"/>
    <w:rsid w:val="008178C8"/>
    <w:rsid w:val="00827CA1"/>
    <w:rsid w:val="008334A4"/>
    <w:rsid w:val="00833E4F"/>
    <w:rsid w:val="00850253"/>
    <w:rsid w:val="00872CDA"/>
    <w:rsid w:val="008762D3"/>
    <w:rsid w:val="00886830"/>
    <w:rsid w:val="008B33CF"/>
    <w:rsid w:val="008B4BE8"/>
    <w:rsid w:val="008B7572"/>
    <w:rsid w:val="008D275F"/>
    <w:rsid w:val="008F2E8C"/>
    <w:rsid w:val="008F308A"/>
    <w:rsid w:val="0090486C"/>
    <w:rsid w:val="0090548A"/>
    <w:rsid w:val="00914F8D"/>
    <w:rsid w:val="00925890"/>
    <w:rsid w:val="0092727E"/>
    <w:rsid w:val="00930CEF"/>
    <w:rsid w:val="0094232B"/>
    <w:rsid w:val="00945BC7"/>
    <w:rsid w:val="00957751"/>
    <w:rsid w:val="00960734"/>
    <w:rsid w:val="00967B98"/>
    <w:rsid w:val="00973892"/>
    <w:rsid w:val="00976568"/>
    <w:rsid w:val="0098479E"/>
    <w:rsid w:val="00984AA9"/>
    <w:rsid w:val="00990B05"/>
    <w:rsid w:val="00994071"/>
    <w:rsid w:val="00997DF0"/>
    <w:rsid w:val="009A5FCE"/>
    <w:rsid w:val="009A612C"/>
    <w:rsid w:val="009B091E"/>
    <w:rsid w:val="009B74E4"/>
    <w:rsid w:val="009C62BE"/>
    <w:rsid w:val="009E5D6B"/>
    <w:rsid w:val="009F1FF3"/>
    <w:rsid w:val="009F5F57"/>
    <w:rsid w:val="00A02A88"/>
    <w:rsid w:val="00A1019B"/>
    <w:rsid w:val="00A144B3"/>
    <w:rsid w:val="00A31F54"/>
    <w:rsid w:val="00A40417"/>
    <w:rsid w:val="00A476B8"/>
    <w:rsid w:val="00A50101"/>
    <w:rsid w:val="00A633BF"/>
    <w:rsid w:val="00A80E64"/>
    <w:rsid w:val="00A941FB"/>
    <w:rsid w:val="00AA4B4A"/>
    <w:rsid w:val="00AB59BC"/>
    <w:rsid w:val="00AC2495"/>
    <w:rsid w:val="00AC2886"/>
    <w:rsid w:val="00AF1606"/>
    <w:rsid w:val="00AF1875"/>
    <w:rsid w:val="00AF6358"/>
    <w:rsid w:val="00AF71ED"/>
    <w:rsid w:val="00AF7C9F"/>
    <w:rsid w:val="00B1637A"/>
    <w:rsid w:val="00B246BE"/>
    <w:rsid w:val="00B25076"/>
    <w:rsid w:val="00B34513"/>
    <w:rsid w:val="00B360A9"/>
    <w:rsid w:val="00B428D3"/>
    <w:rsid w:val="00B46C1B"/>
    <w:rsid w:val="00B532AF"/>
    <w:rsid w:val="00B62D76"/>
    <w:rsid w:val="00B64566"/>
    <w:rsid w:val="00B67272"/>
    <w:rsid w:val="00B84D8C"/>
    <w:rsid w:val="00B852C2"/>
    <w:rsid w:val="00BB1812"/>
    <w:rsid w:val="00BD6DBE"/>
    <w:rsid w:val="00BE2CF6"/>
    <w:rsid w:val="00BF2E54"/>
    <w:rsid w:val="00BF65D2"/>
    <w:rsid w:val="00C047D3"/>
    <w:rsid w:val="00C060F4"/>
    <w:rsid w:val="00C158D7"/>
    <w:rsid w:val="00C241A7"/>
    <w:rsid w:val="00C3728B"/>
    <w:rsid w:val="00C56FD8"/>
    <w:rsid w:val="00C6063D"/>
    <w:rsid w:val="00C87AC4"/>
    <w:rsid w:val="00C97A5D"/>
    <w:rsid w:val="00CB37F7"/>
    <w:rsid w:val="00CB7640"/>
    <w:rsid w:val="00CE2FEC"/>
    <w:rsid w:val="00CE5A15"/>
    <w:rsid w:val="00CF6775"/>
    <w:rsid w:val="00D13E80"/>
    <w:rsid w:val="00D227AD"/>
    <w:rsid w:val="00D24A4A"/>
    <w:rsid w:val="00D42070"/>
    <w:rsid w:val="00D47289"/>
    <w:rsid w:val="00D50647"/>
    <w:rsid w:val="00D57A28"/>
    <w:rsid w:val="00D63274"/>
    <w:rsid w:val="00D65383"/>
    <w:rsid w:val="00D71AE3"/>
    <w:rsid w:val="00D804FE"/>
    <w:rsid w:val="00D80B7A"/>
    <w:rsid w:val="00D96FD7"/>
    <w:rsid w:val="00DB0AF8"/>
    <w:rsid w:val="00DB400F"/>
    <w:rsid w:val="00DC4787"/>
    <w:rsid w:val="00DC5CFE"/>
    <w:rsid w:val="00DE44AF"/>
    <w:rsid w:val="00DF642C"/>
    <w:rsid w:val="00E0400D"/>
    <w:rsid w:val="00E11E89"/>
    <w:rsid w:val="00E1406D"/>
    <w:rsid w:val="00E20C58"/>
    <w:rsid w:val="00E22BF4"/>
    <w:rsid w:val="00E35E29"/>
    <w:rsid w:val="00E66E6C"/>
    <w:rsid w:val="00E86066"/>
    <w:rsid w:val="00E86120"/>
    <w:rsid w:val="00E90C7F"/>
    <w:rsid w:val="00EF163B"/>
    <w:rsid w:val="00EF30AF"/>
    <w:rsid w:val="00F11446"/>
    <w:rsid w:val="00F16112"/>
    <w:rsid w:val="00F22A8B"/>
    <w:rsid w:val="00F330E4"/>
    <w:rsid w:val="00F34B45"/>
    <w:rsid w:val="00F36567"/>
    <w:rsid w:val="00F54FF1"/>
    <w:rsid w:val="00F659F6"/>
    <w:rsid w:val="00FB665E"/>
    <w:rsid w:val="00FF23FC"/>
    <w:rsid w:val="00FF26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D9F58A-2626-48E2-9713-5388914D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06"/>
    <w:pPr>
      <w:widowControl w:val="0"/>
      <w:overflowPunct w:val="0"/>
      <w:autoSpaceDE w:val="0"/>
      <w:autoSpaceDN w:val="0"/>
      <w:adjustRightInd w:val="0"/>
    </w:pPr>
    <w:rPr>
      <w:rFonts w:ascii="Calibri" w:hAnsi="Calibri"/>
      <w:color w:val="000000"/>
      <w:kern w:val="28"/>
      <w:sz w:val="22"/>
    </w:rPr>
  </w:style>
  <w:style w:type="paragraph" w:styleId="Heading1">
    <w:name w:val="heading 1"/>
    <w:basedOn w:val="Normal"/>
    <w:link w:val="Heading1Char"/>
    <w:uiPriority w:val="9"/>
    <w:qFormat/>
    <w:rsid w:val="00594852"/>
    <w:pPr>
      <w:widowControl/>
      <w:overflowPunct/>
      <w:autoSpaceDE/>
      <w:autoSpaceDN/>
      <w:adjustRightInd/>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nhideWhenUsed/>
    <w:qFormat/>
    <w:rsid w:val="00B163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AF187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5076"/>
    <w:pPr>
      <w:widowControl/>
      <w:tabs>
        <w:tab w:val="center" w:pos="4153"/>
        <w:tab w:val="right" w:pos="8306"/>
      </w:tabs>
      <w:overflowPunct/>
      <w:autoSpaceDE/>
      <w:autoSpaceDN/>
      <w:adjustRightInd/>
    </w:pPr>
    <w:rPr>
      <w:color w:val="auto"/>
      <w:kern w:val="0"/>
      <w:sz w:val="24"/>
      <w:szCs w:val="24"/>
      <w:lang w:val="en-GB" w:eastAsia="en-GB"/>
    </w:rPr>
  </w:style>
  <w:style w:type="paragraph" w:styleId="Footer">
    <w:name w:val="footer"/>
    <w:basedOn w:val="Normal"/>
    <w:link w:val="FooterChar"/>
    <w:uiPriority w:val="99"/>
    <w:rsid w:val="00B25076"/>
    <w:pPr>
      <w:widowControl/>
      <w:tabs>
        <w:tab w:val="center" w:pos="4153"/>
        <w:tab w:val="right" w:pos="8306"/>
      </w:tabs>
      <w:overflowPunct/>
      <w:autoSpaceDE/>
      <w:autoSpaceDN/>
      <w:adjustRightInd/>
    </w:pPr>
    <w:rPr>
      <w:color w:val="auto"/>
      <w:kern w:val="0"/>
      <w:sz w:val="24"/>
      <w:szCs w:val="24"/>
      <w:lang w:val="en-GB" w:eastAsia="en-GB"/>
    </w:rPr>
  </w:style>
  <w:style w:type="table" w:styleId="TableGrid">
    <w:name w:val="Table Grid"/>
    <w:basedOn w:val="TableNormal"/>
    <w:uiPriority w:val="59"/>
    <w:rsid w:val="00CB7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7640"/>
    <w:rPr>
      <w:color w:val="0000FF"/>
      <w:u w:val="single"/>
    </w:rPr>
  </w:style>
  <w:style w:type="paragraph" w:styleId="BalloonText">
    <w:name w:val="Balloon Text"/>
    <w:basedOn w:val="Normal"/>
    <w:link w:val="BalloonTextChar"/>
    <w:rsid w:val="00CB7640"/>
    <w:rPr>
      <w:rFonts w:ascii="Tahoma" w:hAnsi="Tahoma" w:cs="Tahoma"/>
      <w:sz w:val="16"/>
      <w:szCs w:val="16"/>
    </w:rPr>
  </w:style>
  <w:style w:type="character" w:customStyle="1" w:styleId="BalloonTextChar">
    <w:name w:val="Balloon Text Char"/>
    <w:link w:val="BalloonText"/>
    <w:rsid w:val="00CB7640"/>
    <w:rPr>
      <w:rFonts w:ascii="Tahoma" w:hAnsi="Tahoma" w:cs="Tahoma"/>
      <w:color w:val="000000"/>
      <w:kern w:val="28"/>
      <w:sz w:val="16"/>
      <w:szCs w:val="16"/>
    </w:rPr>
  </w:style>
  <w:style w:type="character" w:customStyle="1" w:styleId="FooterChar">
    <w:name w:val="Footer Char"/>
    <w:link w:val="Footer"/>
    <w:uiPriority w:val="99"/>
    <w:rsid w:val="0036536A"/>
    <w:rPr>
      <w:sz w:val="24"/>
      <w:szCs w:val="24"/>
      <w:lang w:val="en-GB" w:eastAsia="en-GB"/>
    </w:rPr>
  </w:style>
  <w:style w:type="character" w:customStyle="1" w:styleId="HeaderChar">
    <w:name w:val="Header Char"/>
    <w:link w:val="Header"/>
    <w:uiPriority w:val="99"/>
    <w:rsid w:val="00886830"/>
    <w:rPr>
      <w:sz w:val="24"/>
      <w:szCs w:val="24"/>
      <w:lang w:val="en-GB" w:eastAsia="en-GB"/>
    </w:rPr>
  </w:style>
  <w:style w:type="character" w:customStyle="1" w:styleId="Heading1Char">
    <w:name w:val="Heading 1 Char"/>
    <w:link w:val="Heading1"/>
    <w:uiPriority w:val="9"/>
    <w:rsid w:val="00594852"/>
    <w:rPr>
      <w:b/>
      <w:bCs/>
      <w:kern w:val="36"/>
      <w:sz w:val="48"/>
      <w:szCs w:val="48"/>
    </w:rPr>
  </w:style>
  <w:style w:type="character" w:styleId="FollowedHyperlink">
    <w:name w:val="FollowedHyperlink"/>
    <w:rsid w:val="00BD6DBE"/>
    <w:rPr>
      <w:color w:val="800080"/>
      <w:u w:val="single"/>
    </w:rPr>
  </w:style>
  <w:style w:type="paragraph" w:styleId="ListParagraph">
    <w:name w:val="List Paragraph"/>
    <w:basedOn w:val="Normal"/>
    <w:uiPriority w:val="34"/>
    <w:qFormat/>
    <w:rsid w:val="00B46C1B"/>
    <w:pPr>
      <w:ind w:left="720"/>
      <w:contextualSpacing/>
    </w:pPr>
  </w:style>
  <w:style w:type="character" w:customStyle="1" w:styleId="Heading3Char">
    <w:name w:val="Heading 3 Char"/>
    <w:basedOn w:val="DefaultParagraphFont"/>
    <w:link w:val="Heading3"/>
    <w:semiHidden/>
    <w:rsid w:val="00AF1875"/>
    <w:rPr>
      <w:rFonts w:asciiTheme="majorHAnsi" w:eastAsiaTheme="majorEastAsia" w:hAnsiTheme="majorHAnsi" w:cstheme="majorBidi"/>
      <w:color w:val="1F4D78" w:themeColor="accent1" w:themeShade="7F"/>
      <w:kern w:val="28"/>
      <w:sz w:val="24"/>
      <w:szCs w:val="24"/>
    </w:rPr>
  </w:style>
  <w:style w:type="character" w:styleId="Strong">
    <w:name w:val="Strong"/>
    <w:basedOn w:val="DefaultParagraphFont"/>
    <w:uiPriority w:val="22"/>
    <w:qFormat/>
    <w:rsid w:val="00AF1875"/>
    <w:rPr>
      <w:b/>
      <w:bCs/>
    </w:rPr>
  </w:style>
  <w:style w:type="paragraph" w:styleId="NormalWeb">
    <w:name w:val="Normal (Web)"/>
    <w:basedOn w:val="Normal"/>
    <w:uiPriority w:val="99"/>
    <w:unhideWhenUsed/>
    <w:rsid w:val="00AF1875"/>
    <w:pPr>
      <w:widowControl/>
      <w:overflowPunct/>
      <w:autoSpaceDE/>
      <w:autoSpaceDN/>
      <w:adjustRightInd/>
      <w:spacing w:before="100" w:beforeAutospacing="1" w:after="100" w:afterAutospacing="1"/>
    </w:pPr>
    <w:rPr>
      <w:color w:val="auto"/>
      <w:kern w:val="0"/>
      <w:sz w:val="24"/>
      <w:szCs w:val="24"/>
    </w:rPr>
  </w:style>
  <w:style w:type="character" w:styleId="Emphasis">
    <w:name w:val="Emphasis"/>
    <w:basedOn w:val="DefaultParagraphFont"/>
    <w:uiPriority w:val="20"/>
    <w:qFormat/>
    <w:rsid w:val="00AF1875"/>
    <w:rPr>
      <w:i/>
      <w:iCs/>
    </w:rPr>
  </w:style>
  <w:style w:type="character" w:customStyle="1" w:styleId="Heading2Char">
    <w:name w:val="Heading 2 Char"/>
    <w:basedOn w:val="DefaultParagraphFont"/>
    <w:link w:val="Heading2"/>
    <w:rsid w:val="00B1637A"/>
    <w:rPr>
      <w:rFonts w:asciiTheme="majorHAnsi" w:eastAsiaTheme="majorEastAsia" w:hAnsiTheme="majorHAnsi" w:cstheme="majorBidi"/>
      <w:color w:val="2E74B5" w:themeColor="accent1" w:themeShade="BF"/>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24220">
      <w:bodyDiv w:val="1"/>
      <w:marLeft w:val="0"/>
      <w:marRight w:val="0"/>
      <w:marTop w:val="0"/>
      <w:marBottom w:val="0"/>
      <w:divBdr>
        <w:top w:val="none" w:sz="0" w:space="0" w:color="auto"/>
        <w:left w:val="none" w:sz="0" w:space="0" w:color="auto"/>
        <w:bottom w:val="none" w:sz="0" w:space="0" w:color="auto"/>
        <w:right w:val="none" w:sz="0" w:space="0" w:color="auto"/>
      </w:divBdr>
    </w:div>
    <w:div w:id="947928954">
      <w:bodyDiv w:val="1"/>
      <w:marLeft w:val="0"/>
      <w:marRight w:val="0"/>
      <w:marTop w:val="0"/>
      <w:marBottom w:val="0"/>
      <w:divBdr>
        <w:top w:val="none" w:sz="0" w:space="0" w:color="auto"/>
        <w:left w:val="none" w:sz="0" w:space="0" w:color="auto"/>
        <w:bottom w:val="none" w:sz="0" w:space="0" w:color="auto"/>
        <w:right w:val="none" w:sz="0" w:space="0" w:color="auto"/>
      </w:divBdr>
    </w:div>
    <w:div w:id="1897814700">
      <w:bodyDiv w:val="1"/>
      <w:marLeft w:val="0"/>
      <w:marRight w:val="0"/>
      <w:marTop w:val="0"/>
      <w:marBottom w:val="0"/>
      <w:divBdr>
        <w:top w:val="none" w:sz="0" w:space="0" w:color="auto"/>
        <w:left w:val="none" w:sz="0" w:space="0" w:color="auto"/>
        <w:bottom w:val="none" w:sz="0" w:space="0" w:color="auto"/>
        <w:right w:val="none" w:sz="0" w:space="0" w:color="auto"/>
      </w:divBdr>
    </w:div>
    <w:div w:id="21385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1990/0109/latest/DLM224792.html" TargetMode="External"/><Relationship Id="rId18" Type="http://schemas.openxmlformats.org/officeDocument/2006/relationships/hyperlink" Target="https://www.tepou.co.nz/initiatives/least-restrictive-practice/sensory-modulation" TargetMode="External"/><Relationship Id="rId26" Type="http://schemas.openxmlformats.org/officeDocument/2006/relationships/hyperlink" Target="https://www.tepou.co.nz/resources?keywords%5b%5d=27241&amp;publicationDate=&amp;sort=newest" TargetMode="External"/><Relationship Id="rId3" Type="http://schemas.openxmlformats.org/officeDocument/2006/relationships/styles" Target="styles.xml"/><Relationship Id="rId21" Type="http://schemas.openxmlformats.org/officeDocument/2006/relationships/hyperlink" Target="https://advocacy.org.nz/"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hdc.org.nz/your-rights/about-the-code/code-of-health-and-disability-services-consumers-rights/" TargetMode="External"/><Relationship Id="rId17" Type="http://schemas.openxmlformats.org/officeDocument/2006/relationships/hyperlink" Target="https://www.tepou.co.nz/initiatives/least-restrictive-practice" TargetMode="External"/><Relationship Id="rId25" Type="http://schemas.openxmlformats.org/officeDocument/2006/relationships/hyperlink" Target="https://www.tepou.co.nz/initiatives/lets-get-real/107"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ecald.com/resources/cross-cultural-resources/cross-cultural-resource/" TargetMode="External"/><Relationship Id="rId20" Type="http://schemas.openxmlformats.org/officeDocument/2006/relationships/hyperlink" Target="https://etraining.communitydoor.org.au/course/view.php?id=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1961/0043/latest/whole.html?search=sw_096be8ed81d369a9_restraint_25_se&amp;p=1" TargetMode="External"/><Relationship Id="rId24" Type="http://schemas.openxmlformats.org/officeDocument/2006/relationships/hyperlink" Target="https://www.tepou.co.nz/initiatives/lets-get-real/trauma-informed-approach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ndards.govt.nz/shop/nzs-81342021/" TargetMode="External"/><Relationship Id="rId23" Type="http://schemas.openxmlformats.org/officeDocument/2006/relationships/hyperlink" Target="https://healthpages.co.nz/directory/categories/ethnic-support"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health.tas.gov.au/hospitals/ambulance/ambulance-services-tasmanians/keeping-ambulance-officers-saf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govt.nz/your-health/services-and-support/health-care-services/mental-health-services/crisis-assessment-teams" TargetMode="External"/><Relationship Id="rId14" Type="http://schemas.openxmlformats.org/officeDocument/2006/relationships/hyperlink" Target="https://www.legislation.govt.nz/act/public/1993/0082/latest/DLM304212.html" TargetMode="External"/><Relationship Id="rId22" Type="http://schemas.openxmlformats.org/officeDocument/2006/relationships/hyperlink" Target="https://mentalhealth.org.nz/groups"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hyperlink" Target="http://www.health.govt.nz/your-health/services-and-support/health-care-services/mental-health-services/crisis-assessment-te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Documents\jobqueriesoctober2012\fairleigh2\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464F4C6DD314D89687075BE0FD8CC" ma:contentTypeVersion="17" ma:contentTypeDescription="Create a new document." ma:contentTypeScope="" ma:versionID="c0d1e33858744dce63e9b3584db40ee5">
  <xsd:schema xmlns:xsd="http://www.w3.org/2001/XMLSchema" xmlns:xs="http://www.w3.org/2001/XMLSchema" xmlns:p="http://schemas.microsoft.com/office/2006/metadata/properties" xmlns:ns2="265630a2-a07a-4d00-bbd2-db27837995eb" xmlns:ns3="59cd1108-1ebf-419e-a126-7cd91ad5064c" targetNamespace="http://schemas.microsoft.com/office/2006/metadata/properties" ma:root="true" ma:fieldsID="0bea6b152e2cd1e2e30aa6be78373e73" ns2:_="" ns3:_="">
    <xsd:import namespace="265630a2-a07a-4d00-bbd2-db27837995eb"/>
    <xsd:import namespace="59cd1108-1ebf-419e-a126-7cd91ad506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630a2-a07a-4d00-bbd2-db27837995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c1203d3-66f9-442a-beec-d9639c2b4cfc}" ma:internalName="TaxCatchAll" ma:showField="CatchAllData" ma:web="265630a2-a07a-4d00-bbd2-db27837995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cd1108-1ebf-419e-a126-7cd91ad506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e8b231-d534-4035-8a26-a2ed3b173b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4D4EF-5538-416C-828E-BBE9A0AC8E26}">
  <ds:schemaRefs>
    <ds:schemaRef ds:uri="http://schemas.openxmlformats.org/officeDocument/2006/bibliography"/>
  </ds:schemaRefs>
</ds:datastoreItem>
</file>

<file path=customXml/itemProps2.xml><?xml version="1.0" encoding="utf-8"?>
<ds:datastoreItem xmlns:ds="http://schemas.openxmlformats.org/officeDocument/2006/customXml" ds:itemID="{92D1EBB9-AC9A-4916-908E-B88E705FADFA}"/>
</file>

<file path=customXml/itemProps3.xml><?xml version="1.0" encoding="utf-8"?>
<ds:datastoreItem xmlns:ds="http://schemas.openxmlformats.org/officeDocument/2006/customXml" ds:itemID="{8065928F-B6D7-47D1-8B9E-4BFB18386B09}"/>
</file>

<file path=docProps/app.xml><?xml version="1.0" encoding="utf-8"?>
<Properties xmlns="http://schemas.openxmlformats.org/officeDocument/2006/extended-properties" xmlns:vt="http://schemas.openxmlformats.org/officeDocument/2006/docPropsVTypes">
  <Template>DOCUMENT TEMPLATE</Template>
  <TotalTime>1</TotalTime>
  <Pages>4</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Absolute Quality</Company>
  <LinksUpToDate>false</LinksUpToDate>
  <CharactersWithSpaces>11484</CharactersWithSpaces>
  <SharedDoc>false</SharedDoc>
  <HLinks>
    <vt:vector size="174" baseType="variant">
      <vt:variant>
        <vt:i4>5111817</vt:i4>
      </vt:variant>
      <vt:variant>
        <vt:i4>54</vt:i4>
      </vt:variant>
      <vt:variant>
        <vt:i4>0</vt:i4>
      </vt:variant>
      <vt:variant>
        <vt:i4>5</vt:i4>
      </vt:variant>
      <vt:variant>
        <vt:lpwstr>http://www.health.govt.nz/publication/seclusion-under-mental-health-compulsory-assessment-and-treatment-act-1992</vt:lpwstr>
      </vt:variant>
      <vt:variant>
        <vt:lpwstr/>
      </vt:variant>
      <vt:variant>
        <vt:i4>655380</vt:i4>
      </vt:variant>
      <vt:variant>
        <vt:i4>51</vt:i4>
      </vt:variant>
      <vt:variant>
        <vt:i4>0</vt:i4>
      </vt:variant>
      <vt:variant>
        <vt:i4>5</vt:i4>
      </vt:variant>
      <vt:variant>
        <vt:lpwstr>http://www.crisisprevention.com/Resources/Knowledge-Base/General/De-escalation-Techniques</vt:lpwstr>
      </vt:variant>
      <vt:variant>
        <vt:lpwstr/>
      </vt:variant>
      <vt:variant>
        <vt:i4>4915274</vt:i4>
      </vt:variant>
      <vt:variant>
        <vt:i4>48</vt:i4>
      </vt:variant>
      <vt:variant>
        <vt:i4>0</vt:i4>
      </vt:variant>
      <vt:variant>
        <vt:i4>5</vt:i4>
      </vt:variant>
      <vt:variant>
        <vt:lpwstr>http://www.careerforce.org.nz/wordpress/wp-content/uploads/WB26976v2.pdf</vt:lpwstr>
      </vt:variant>
      <vt:variant>
        <vt:lpwstr/>
      </vt:variant>
      <vt:variant>
        <vt:i4>4915274</vt:i4>
      </vt:variant>
      <vt:variant>
        <vt:i4>45</vt:i4>
      </vt:variant>
      <vt:variant>
        <vt:i4>0</vt:i4>
      </vt:variant>
      <vt:variant>
        <vt:i4>5</vt:i4>
      </vt:variant>
      <vt:variant>
        <vt:lpwstr>http://www.careerforce.org.nz/wordpress/wp-content/uploads/WB26976v2.pdf</vt:lpwstr>
      </vt:variant>
      <vt:variant>
        <vt:lpwstr/>
      </vt:variant>
      <vt:variant>
        <vt:i4>4259915</vt:i4>
      </vt:variant>
      <vt:variant>
        <vt:i4>42</vt:i4>
      </vt:variant>
      <vt:variant>
        <vt:i4>0</vt:i4>
      </vt:variant>
      <vt:variant>
        <vt:i4>5</vt:i4>
      </vt:variant>
      <vt:variant>
        <vt:lpwstr>http://store.samhsa.gov/product/Roadmap-to-Seclusion-and-Restraint-Free-Mental-Health-Services-CD-/SMA06-4055</vt:lpwstr>
      </vt:variant>
      <vt:variant>
        <vt:lpwstr/>
      </vt:variant>
      <vt:variant>
        <vt:i4>7143541</vt:i4>
      </vt:variant>
      <vt:variant>
        <vt:i4>39</vt:i4>
      </vt:variant>
      <vt:variant>
        <vt:i4>0</vt:i4>
      </vt:variant>
      <vt:variant>
        <vt:i4>5</vt:i4>
      </vt:variant>
      <vt:variant>
        <vt:lpwstr>http://www.tepou.co.nz/</vt:lpwstr>
      </vt:variant>
      <vt:variant>
        <vt:lpwstr/>
      </vt:variant>
      <vt:variant>
        <vt:i4>1114122</vt:i4>
      </vt:variant>
      <vt:variant>
        <vt:i4>36</vt:i4>
      </vt:variant>
      <vt:variant>
        <vt:i4>0</vt:i4>
      </vt:variant>
      <vt:variant>
        <vt:i4>5</vt:i4>
      </vt:variant>
      <vt:variant>
        <vt:lpwstr>http://www.wikihow.com/Defuse-an-Argument</vt:lpwstr>
      </vt:variant>
      <vt:variant>
        <vt:lpwstr/>
      </vt:variant>
      <vt:variant>
        <vt:i4>7340077</vt:i4>
      </vt:variant>
      <vt:variant>
        <vt:i4>33</vt:i4>
      </vt:variant>
      <vt:variant>
        <vt:i4>0</vt:i4>
      </vt:variant>
      <vt:variant>
        <vt:i4>5</vt:i4>
      </vt:variant>
      <vt:variant>
        <vt:lpwstr>http://www.health.vic.gov.au/chiefpsychiatrist/creatingsafety/ntac/module1.pdf</vt:lpwstr>
      </vt:variant>
      <vt:variant>
        <vt:lpwstr/>
      </vt:variant>
      <vt:variant>
        <vt:i4>5832794</vt:i4>
      </vt:variant>
      <vt:variant>
        <vt:i4>30</vt:i4>
      </vt:variant>
      <vt:variant>
        <vt:i4>0</vt:i4>
      </vt:variant>
      <vt:variant>
        <vt:i4>5</vt:i4>
      </vt:variant>
      <vt:variant>
        <vt:lpwstr>http://www.tepou.co.nz/improving-services/acutes-suite/sensory-modulation</vt:lpwstr>
      </vt:variant>
      <vt:variant>
        <vt:lpwstr/>
      </vt:variant>
      <vt:variant>
        <vt:i4>6291519</vt:i4>
      </vt:variant>
      <vt:variant>
        <vt:i4>27</vt:i4>
      </vt:variant>
      <vt:variant>
        <vt:i4>0</vt:i4>
      </vt:variant>
      <vt:variant>
        <vt:i4>5</vt:i4>
      </vt:variant>
      <vt:variant>
        <vt:lpwstr>http://www.tepou.co.nz/improving-services/trauma-informed-care</vt:lpwstr>
      </vt:variant>
      <vt:variant>
        <vt:lpwstr/>
      </vt:variant>
      <vt:variant>
        <vt:i4>1245264</vt:i4>
      </vt:variant>
      <vt:variant>
        <vt:i4>24</vt:i4>
      </vt:variant>
      <vt:variant>
        <vt:i4>0</vt:i4>
      </vt:variant>
      <vt:variant>
        <vt:i4>5</vt:i4>
      </vt:variant>
      <vt:variant>
        <vt:lpwstr>http://www.caldresources.org.nz/info/ResourceLanding.php</vt:lpwstr>
      </vt:variant>
      <vt:variant>
        <vt:lpwstr/>
      </vt:variant>
      <vt:variant>
        <vt:i4>1900635</vt:i4>
      </vt:variant>
      <vt:variant>
        <vt:i4>21</vt:i4>
      </vt:variant>
      <vt:variant>
        <vt:i4>0</vt:i4>
      </vt:variant>
      <vt:variant>
        <vt:i4>5</vt:i4>
      </vt:variant>
      <vt:variant>
        <vt:lpwstr>http://www.health.govt.nz/our-work/regulation-health-and-disability-system/certification-healthcare-services/health-and-disability-services-standards</vt:lpwstr>
      </vt:variant>
      <vt:variant>
        <vt:lpwstr/>
      </vt:variant>
      <vt:variant>
        <vt:i4>6029325</vt:i4>
      </vt:variant>
      <vt:variant>
        <vt:i4>18</vt:i4>
      </vt:variant>
      <vt:variant>
        <vt:i4>0</vt:i4>
      </vt:variant>
      <vt:variant>
        <vt:i4>5</vt:i4>
      </vt:variant>
      <vt:variant>
        <vt:lpwstr>http://www.legislation.govt.nz/act/public/1992/0046/latest/DLM262176.html</vt:lpwstr>
      </vt:variant>
      <vt:variant>
        <vt:lpwstr/>
      </vt:variant>
      <vt:variant>
        <vt:i4>5242888</vt:i4>
      </vt:variant>
      <vt:variant>
        <vt:i4>15</vt:i4>
      </vt:variant>
      <vt:variant>
        <vt:i4>0</vt:i4>
      </vt:variant>
      <vt:variant>
        <vt:i4>5</vt:i4>
      </vt:variant>
      <vt:variant>
        <vt:lpwstr>http://www.legislation.govt.nz/act/public/1993/0082/latest/DLM304212.html</vt:lpwstr>
      </vt:variant>
      <vt:variant>
        <vt:lpwstr/>
      </vt:variant>
      <vt:variant>
        <vt:i4>6029323</vt:i4>
      </vt:variant>
      <vt:variant>
        <vt:i4>12</vt:i4>
      </vt:variant>
      <vt:variant>
        <vt:i4>0</vt:i4>
      </vt:variant>
      <vt:variant>
        <vt:i4>5</vt:i4>
      </vt:variant>
      <vt:variant>
        <vt:lpwstr>http://www.legislation.govt.nz/act/public/1990/0109/latest/DLM224792.html</vt:lpwstr>
      </vt:variant>
      <vt:variant>
        <vt:lpwstr/>
      </vt:variant>
      <vt:variant>
        <vt:i4>5701642</vt:i4>
      </vt:variant>
      <vt:variant>
        <vt:i4>9</vt:i4>
      </vt:variant>
      <vt:variant>
        <vt:i4>0</vt:i4>
      </vt:variant>
      <vt:variant>
        <vt:i4>5</vt:i4>
      </vt:variant>
      <vt:variant>
        <vt:lpwstr>http://www.legislation.govt.nz/act/public/2001/0093/latest/DLM119975.html</vt:lpwstr>
      </vt:variant>
      <vt:variant>
        <vt:lpwstr/>
      </vt:variant>
      <vt:variant>
        <vt:i4>5570572</vt:i4>
      </vt:variant>
      <vt:variant>
        <vt:i4>6</vt:i4>
      </vt:variant>
      <vt:variant>
        <vt:i4>0</vt:i4>
      </vt:variant>
      <vt:variant>
        <vt:i4>5</vt:i4>
      </vt:variant>
      <vt:variant>
        <vt:lpwstr>http://www.legislation.govt.nz/act/public/1994/0088/latest/DLM333584.html</vt:lpwstr>
      </vt:variant>
      <vt:variant>
        <vt:lpwstr/>
      </vt:variant>
      <vt:variant>
        <vt:i4>1966162</vt:i4>
      </vt:variant>
      <vt:variant>
        <vt:i4>3</vt:i4>
      </vt:variant>
      <vt:variant>
        <vt:i4>0</vt:i4>
      </vt:variant>
      <vt:variant>
        <vt:i4>5</vt:i4>
      </vt:variant>
      <vt:variant>
        <vt:lpwstr>http://www.legislation.govt.nz/regulation/public/1996/0078/latest/whole.html</vt:lpwstr>
      </vt:variant>
      <vt:variant>
        <vt:lpwstr/>
      </vt:variant>
      <vt:variant>
        <vt:i4>6225927</vt:i4>
      </vt:variant>
      <vt:variant>
        <vt:i4>0</vt:i4>
      </vt:variant>
      <vt:variant>
        <vt:i4>0</vt:i4>
      </vt:variant>
      <vt:variant>
        <vt:i4>5</vt:i4>
      </vt:variant>
      <vt:variant>
        <vt:lpwstr>https://www.health.govt.nz/system/files/documents/pages/81342-2008-nzs-health-and-disability-services-restraint-minimisation.pdf</vt:lpwstr>
      </vt:variant>
      <vt:variant>
        <vt:lpwstr/>
      </vt:variant>
      <vt:variant>
        <vt:i4>4063282</vt:i4>
      </vt:variant>
      <vt:variant>
        <vt:i4>27</vt:i4>
      </vt:variant>
      <vt:variant>
        <vt:i4>0</vt:i4>
      </vt:variant>
      <vt:variant>
        <vt:i4>5</vt:i4>
      </vt:variant>
      <vt:variant>
        <vt:lpwstr>http://www.tepou.co.nz/supporting-workforce</vt:lpwstr>
      </vt:variant>
      <vt:variant>
        <vt:lpwstr/>
      </vt:variant>
      <vt:variant>
        <vt:i4>6291519</vt:i4>
      </vt:variant>
      <vt:variant>
        <vt:i4>24</vt:i4>
      </vt:variant>
      <vt:variant>
        <vt:i4>0</vt:i4>
      </vt:variant>
      <vt:variant>
        <vt:i4>5</vt:i4>
      </vt:variant>
      <vt:variant>
        <vt:lpwstr>http://www.tepou.co.nz/improving-services/trauma-informed-care</vt:lpwstr>
      </vt:variant>
      <vt:variant>
        <vt:lpwstr/>
      </vt:variant>
      <vt:variant>
        <vt:i4>7798885</vt:i4>
      </vt:variant>
      <vt:variant>
        <vt:i4>21</vt:i4>
      </vt:variant>
      <vt:variant>
        <vt:i4>0</vt:i4>
      </vt:variant>
      <vt:variant>
        <vt:i4>5</vt:i4>
      </vt:variant>
      <vt:variant>
        <vt:lpwstr>http://www.tepou.co.nz/training/sensory-modulation-training</vt:lpwstr>
      </vt:variant>
      <vt:variant>
        <vt:lpwstr/>
      </vt:variant>
      <vt:variant>
        <vt:i4>458831</vt:i4>
      </vt:variant>
      <vt:variant>
        <vt:i4>18</vt:i4>
      </vt:variant>
      <vt:variant>
        <vt:i4>0</vt:i4>
      </vt:variant>
      <vt:variant>
        <vt:i4>5</vt:i4>
      </vt:variant>
      <vt:variant>
        <vt:lpwstr>http://www.tepou.co.nz/supporting-workforce/lets-get-real</vt:lpwstr>
      </vt:variant>
      <vt:variant>
        <vt:lpwstr/>
      </vt:variant>
      <vt:variant>
        <vt:i4>2097188</vt:i4>
      </vt:variant>
      <vt:variant>
        <vt:i4>15</vt:i4>
      </vt:variant>
      <vt:variant>
        <vt:i4>0</vt:i4>
      </vt:variant>
      <vt:variant>
        <vt:i4>5</vt:i4>
      </vt:variant>
      <vt:variant>
        <vt:lpwstr>http://www.intentionalpeersupport.org/</vt:lpwstr>
      </vt:variant>
      <vt:variant>
        <vt:lpwstr/>
      </vt:variant>
      <vt:variant>
        <vt:i4>6750319</vt:i4>
      </vt:variant>
      <vt:variant>
        <vt:i4>12</vt:i4>
      </vt:variant>
      <vt:variant>
        <vt:i4>0</vt:i4>
      </vt:variant>
      <vt:variant>
        <vt:i4>5</vt:i4>
      </vt:variant>
      <vt:variant>
        <vt:lpwstr>http://www.tepou.co.nz/library/tepou/lets-get-real-overview</vt:lpwstr>
      </vt:variant>
      <vt:variant>
        <vt:lpwstr/>
      </vt:variant>
      <vt:variant>
        <vt:i4>3473523</vt:i4>
      </vt:variant>
      <vt:variant>
        <vt:i4>9</vt:i4>
      </vt:variant>
      <vt:variant>
        <vt:i4>0</vt:i4>
      </vt:variant>
      <vt:variant>
        <vt:i4>5</vt:i4>
      </vt:variant>
      <vt:variant>
        <vt:lpwstr>http://advocacy.hdc.org.nz/find-an-advocate</vt:lpwstr>
      </vt:variant>
      <vt:variant>
        <vt:lpwstr/>
      </vt:variant>
      <vt:variant>
        <vt:i4>5832794</vt:i4>
      </vt:variant>
      <vt:variant>
        <vt:i4>6</vt:i4>
      </vt:variant>
      <vt:variant>
        <vt:i4>0</vt:i4>
      </vt:variant>
      <vt:variant>
        <vt:i4>5</vt:i4>
      </vt:variant>
      <vt:variant>
        <vt:lpwstr>http://www.tepou.co.nz/improving-services/acutes-suite/sensory-modulation</vt:lpwstr>
      </vt:variant>
      <vt:variant>
        <vt:lpwstr/>
      </vt:variant>
      <vt:variant>
        <vt:i4>1638479</vt:i4>
      </vt:variant>
      <vt:variant>
        <vt:i4>3</vt:i4>
      </vt:variant>
      <vt:variant>
        <vt:i4>0</vt:i4>
      </vt:variant>
      <vt:variant>
        <vt:i4>5</vt:i4>
      </vt:variant>
      <vt:variant>
        <vt:lpwstr>http://www.healthpages.co.nz/health-a-wellbeing-services/primary-health-organisations</vt:lpwstr>
      </vt:variant>
      <vt:variant>
        <vt:lpwstr/>
      </vt:variant>
      <vt:variant>
        <vt:i4>7340143</vt:i4>
      </vt:variant>
      <vt:variant>
        <vt:i4>0</vt:i4>
      </vt:variant>
      <vt:variant>
        <vt:i4>0</vt:i4>
      </vt:variant>
      <vt:variant>
        <vt:i4>5</vt:i4>
      </vt:variant>
      <vt:variant>
        <vt:lpwstr>https://www.health.govt.nz/your-health/services-and-support/health-care-services/mental-health-services/crisis-assessment-teams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Sarah Harnisch</cp:lastModifiedBy>
  <cp:revision>3</cp:revision>
  <cp:lastPrinted>1900-12-31T12:00:00Z</cp:lastPrinted>
  <dcterms:created xsi:type="dcterms:W3CDTF">2023-09-16T23:00:00Z</dcterms:created>
  <dcterms:modified xsi:type="dcterms:W3CDTF">2023-09-27T02:49:00Z</dcterms:modified>
</cp:coreProperties>
</file>