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C464" w14:textId="77777777" w:rsidR="00CC1286" w:rsidRPr="00CC1286" w:rsidRDefault="00CC1286" w:rsidP="00CC1286"/>
    <w:tbl>
      <w:tblPr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499"/>
      </w:tblGrid>
      <w:tr w:rsidR="00032927" w:rsidRPr="00DB66B9" w14:paraId="659AC467" w14:textId="77777777" w:rsidTr="00730A52">
        <w:tc>
          <w:tcPr>
            <w:tcW w:w="1668" w:type="dxa"/>
            <w:shd w:val="clear" w:color="auto" w:fill="F2F2F2" w:themeFill="background1" w:themeFillShade="F2"/>
          </w:tcPr>
          <w:p w14:paraId="659AC465" w14:textId="77777777" w:rsidR="00032927" w:rsidRPr="00032927" w:rsidRDefault="00032927" w:rsidP="00FC4653">
            <w:pPr>
              <w:pStyle w:val="Heading1"/>
              <w:spacing w:before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03292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Purpose</w:t>
            </w:r>
          </w:p>
        </w:tc>
        <w:tc>
          <w:tcPr>
            <w:tcW w:w="8499" w:type="dxa"/>
            <w:shd w:val="clear" w:color="auto" w:fill="auto"/>
          </w:tcPr>
          <w:p w14:paraId="659AC466" w14:textId="77777777" w:rsidR="00032927" w:rsidRPr="00032927" w:rsidRDefault="00032927" w:rsidP="001E0961">
            <w:pPr>
              <w:rPr>
                <w:rFonts w:cs="Calibri"/>
                <w:sz w:val="28"/>
                <w:szCs w:val="28"/>
              </w:rPr>
            </w:pPr>
            <w:r w:rsidRPr="00032927">
              <w:rPr>
                <w:rFonts w:cs="Calibri"/>
              </w:rPr>
              <w:t xml:space="preserve">This is a guide to </w:t>
            </w:r>
            <w:r w:rsidR="000D58D3">
              <w:rPr>
                <w:rFonts w:cs="Calibri"/>
              </w:rPr>
              <w:t xml:space="preserve">respond to </w:t>
            </w:r>
            <w:r w:rsidRPr="00032927">
              <w:rPr>
                <w:rFonts w:cs="Calibri"/>
              </w:rPr>
              <w:t>the passing away of tangata whai ora/tangata whaikaha during the time they are engaging with our service</w:t>
            </w:r>
            <w:r w:rsidR="001E0961">
              <w:rPr>
                <w:rFonts w:cs="Calibri"/>
              </w:rPr>
              <w:t xml:space="preserve">. </w:t>
            </w:r>
          </w:p>
        </w:tc>
      </w:tr>
      <w:tr w:rsidR="00032927" w:rsidRPr="00DB66B9" w14:paraId="659AC46B" w14:textId="77777777" w:rsidTr="00730A52">
        <w:tc>
          <w:tcPr>
            <w:tcW w:w="1668" w:type="dxa"/>
            <w:shd w:val="clear" w:color="auto" w:fill="F2F2F2" w:themeFill="background1" w:themeFillShade="F2"/>
          </w:tcPr>
          <w:p w14:paraId="659AC468" w14:textId="77777777" w:rsidR="00032927" w:rsidRPr="00032927" w:rsidRDefault="00032927" w:rsidP="00FC4653">
            <w:pPr>
              <w:pStyle w:val="Heading1"/>
              <w:spacing w:before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03292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Scope</w:t>
            </w:r>
          </w:p>
        </w:tc>
        <w:tc>
          <w:tcPr>
            <w:tcW w:w="8499" w:type="dxa"/>
            <w:shd w:val="clear" w:color="auto" w:fill="auto"/>
          </w:tcPr>
          <w:p w14:paraId="659AC469" w14:textId="77777777" w:rsidR="00032927" w:rsidRDefault="00032927" w:rsidP="00032927">
            <w:r>
              <w:t>T</w:t>
            </w:r>
            <w:r w:rsidR="00090F7E">
              <w:t>a</w:t>
            </w:r>
            <w:r>
              <w:t>ngata whai ora/tangata whaikaha and their wh</w:t>
            </w:r>
            <w:r>
              <w:rPr>
                <w:rFonts w:cs="Calibri"/>
              </w:rPr>
              <w:t>ā</w:t>
            </w:r>
            <w:r>
              <w:t>nau.</w:t>
            </w:r>
          </w:p>
          <w:p w14:paraId="659AC46A" w14:textId="77777777" w:rsidR="00032927" w:rsidRPr="00032927" w:rsidRDefault="00032927" w:rsidP="00032927">
            <w:r>
              <w:t xml:space="preserve">Our leadership team and health care workers. </w:t>
            </w:r>
          </w:p>
        </w:tc>
      </w:tr>
      <w:tr w:rsidR="00FC4653" w:rsidRPr="00DB66B9" w14:paraId="659AC46F" w14:textId="77777777" w:rsidTr="00730A52">
        <w:tc>
          <w:tcPr>
            <w:tcW w:w="1668" w:type="dxa"/>
            <w:shd w:val="clear" w:color="auto" w:fill="F2F2F2" w:themeFill="background1" w:themeFillShade="F2"/>
          </w:tcPr>
          <w:p w14:paraId="659AC46C" w14:textId="77777777" w:rsidR="00FC4653" w:rsidRPr="00032927" w:rsidRDefault="00FC4653" w:rsidP="00FC4653">
            <w:pPr>
              <w:pStyle w:val="Heading1"/>
              <w:spacing w:before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Policy</w:t>
            </w:r>
          </w:p>
        </w:tc>
        <w:tc>
          <w:tcPr>
            <w:tcW w:w="8499" w:type="dxa"/>
            <w:shd w:val="clear" w:color="auto" w:fill="auto"/>
          </w:tcPr>
          <w:p w14:paraId="659AC46D" w14:textId="77777777" w:rsidR="00FC4653" w:rsidRDefault="00FC4653" w:rsidP="00FC4653">
            <w:r>
              <w:t>Our health care workers and the leadership team ensure that the deceased/tūpāpaku is cared for with privacy and dignity.</w:t>
            </w:r>
          </w:p>
          <w:p w14:paraId="659AC46E" w14:textId="77777777" w:rsidR="00FC4653" w:rsidRDefault="00FC4653" w:rsidP="00FC4653">
            <w:r>
              <w:t>We adhere to the legal and cultural processes at all times.</w:t>
            </w:r>
            <w:r>
              <w:rPr>
                <w:rFonts w:cs="Calibri"/>
              </w:rPr>
              <w:t xml:space="preserve"> </w:t>
            </w:r>
          </w:p>
        </w:tc>
      </w:tr>
      <w:tr w:rsidR="00032927" w:rsidRPr="00DB66B9" w14:paraId="659AC471" w14:textId="77777777" w:rsidTr="00730A52">
        <w:tc>
          <w:tcPr>
            <w:tcW w:w="10167" w:type="dxa"/>
            <w:gridSpan w:val="2"/>
            <w:shd w:val="clear" w:color="auto" w:fill="F2F2F2" w:themeFill="background1" w:themeFillShade="F2"/>
          </w:tcPr>
          <w:p w14:paraId="659AC470" w14:textId="77777777" w:rsidR="00032927" w:rsidRPr="00032927" w:rsidRDefault="00032927" w:rsidP="006F52A7">
            <w:pPr>
              <w:pStyle w:val="Heading1"/>
              <w:rPr>
                <w:rFonts w:ascii="Calibri" w:hAnsi="Calibri" w:cs="Calibri"/>
                <w:b/>
                <w:color w:val="auto"/>
                <w:sz w:val="28"/>
                <w:szCs w:val="28"/>
              </w:rPr>
            </w:pPr>
            <w:r w:rsidRPr="0003292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References</w:t>
            </w:r>
          </w:p>
        </w:tc>
      </w:tr>
      <w:tr w:rsidR="00032927" w:rsidRPr="00DB66B9" w14:paraId="659AC479" w14:textId="77777777" w:rsidTr="00730A52">
        <w:tc>
          <w:tcPr>
            <w:tcW w:w="1668" w:type="dxa"/>
            <w:shd w:val="clear" w:color="auto" w:fill="F2F2F2" w:themeFill="background1" w:themeFillShade="F2"/>
          </w:tcPr>
          <w:p w14:paraId="659AC472" w14:textId="77777777" w:rsidR="00032927" w:rsidRPr="00032927" w:rsidRDefault="00032927" w:rsidP="006F52A7">
            <w:pPr>
              <w:pStyle w:val="Heading1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03292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Legislation</w:t>
            </w:r>
          </w:p>
        </w:tc>
        <w:tc>
          <w:tcPr>
            <w:tcW w:w="8499" w:type="dxa"/>
            <w:shd w:val="clear" w:color="auto" w:fill="auto"/>
          </w:tcPr>
          <w:p w14:paraId="659AC473" w14:textId="77777777" w:rsidR="00032927" w:rsidRPr="00032927" w:rsidRDefault="00032927" w:rsidP="006F52A7">
            <w:pPr>
              <w:pStyle w:val="Heading1"/>
              <w:spacing w:before="0"/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  <w:lang w:eastAsia="en-NZ"/>
              </w:rPr>
            </w:pPr>
            <w:r w:rsidRPr="00032927"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  <w:lang w:eastAsia="en-NZ"/>
              </w:rPr>
              <w:t>Births, Deaths, Marriages, and Relationships Registration Act 2021</w:t>
            </w:r>
          </w:p>
          <w:p w14:paraId="659AC474" w14:textId="77777777" w:rsidR="00032927" w:rsidRPr="00FC4A2C" w:rsidRDefault="00032927" w:rsidP="006F52A7">
            <w:pPr>
              <w:pStyle w:val="Heading1"/>
              <w:spacing w:before="0"/>
              <w:rPr>
                <w:rStyle w:val="Hyperlink"/>
                <w:rFonts w:ascii="Calibri" w:hAnsi="Calibri" w:cs="Calibri"/>
                <w:b/>
                <w:color w:val="auto"/>
                <w:sz w:val="22"/>
                <w:szCs w:val="22"/>
                <w:u w:val="none"/>
                <w:lang w:eastAsia="en-NZ"/>
              </w:rPr>
            </w:pPr>
            <w:r w:rsidRPr="00FC4A2C"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  <w:lang w:eastAsia="en-NZ"/>
              </w:rPr>
              <w:t>Burial and Cremation Act 1964</w:t>
            </w:r>
          </w:p>
          <w:p w14:paraId="659AC475" w14:textId="77777777" w:rsidR="00032927" w:rsidRPr="00E83B57" w:rsidRDefault="00032927" w:rsidP="006F52A7">
            <w:pPr>
              <w:pStyle w:val="Heading1"/>
              <w:spacing w:before="0"/>
              <w:rPr>
                <w:color w:val="auto"/>
              </w:rPr>
            </w:pPr>
            <w:r w:rsidRPr="00E83B5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Burial and Cremation Amendment Act 2016</w:t>
            </w:r>
          </w:p>
          <w:p w14:paraId="659AC476" w14:textId="77777777" w:rsidR="00032927" w:rsidRPr="00E83B57" w:rsidRDefault="00000000" w:rsidP="00E83B57">
            <w:pPr>
              <w:pStyle w:val="Heading1"/>
              <w:tabs>
                <w:tab w:val="left" w:pos="2085"/>
              </w:tabs>
              <w:spacing w:before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hyperlink r:id="rId9" w:history="1">
              <w:r w:rsidR="00032927" w:rsidRPr="00E83B5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Coroners Act 1988</w:t>
              </w:r>
            </w:hyperlink>
            <w:r w:rsidR="00E83B57" w:rsidRPr="00E83B57"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  <w:tab/>
            </w:r>
          </w:p>
          <w:p w14:paraId="659AC477" w14:textId="77777777" w:rsidR="00032927" w:rsidRPr="00E83B57" w:rsidRDefault="00032927" w:rsidP="006F52A7">
            <w:pPr>
              <w:pStyle w:val="Heading1"/>
              <w:spacing w:before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83B57"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  <w:t>Cremation Regulations 1973</w:t>
            </w:r>
          </w:p>
          <w:p w14:paraId="659AC478" w14:textId="77777777" w:rsidR="00032927" w:rsidRPr="00E83B57" w:rsidRDefault="00032927" w:rsidP="006F52A7">
            <w:pPr>
              <w:pStyle w:val="Heading1"/>
              <w:spacing w:before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83B5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Health and Disability Services (Safety) Act 2001 (Sect31)</w:t>
            </w:r>
          </w:p>
        </w:tc>
      </w:tr>
      <w:tr w:rsidR="00032927" w:rsidRPr="00EA6C4A" w14:paraId="659AC484" w14:textId="77777777" w:rsidTr="00730A52">
        <w:tc>
          <w:tcPr>
            <w:tcW w:w="1668" w:type="dxa"/>
            <w:shd w:val="clear" w:color="auto" w:fill="F2F2F2" w:themeFill="background1" w:themeFillShade="F2"/>
          </w:tcPr>
          <w:p w14:paraId="659AC47A" w14:textId="77777777" w:rsidR="00032927" w:rsidRPr="001E580D" w:rsidRDefault="00032927" w:rsidP="006F52A7">
            <w:pPr>
              <w:pStyle w:val="Heading1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E580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Guidelines</w:t>
            </w:r>
          </w:p>
        </w:tc>
        <w:tc>
          <w:tcPr>
            <w:tcW w:w="8499" w:type="dxa"/>
            <w:shd w:val="clear" w:color="auto" w:fill="auto"/>
          </w:tcPr>
          <w:p w14:paraId="659AC47B" w14:textId="77777777" w:rsidR="00D15AAD" w:rsidRDefault="00000000" w:rsidP="00277796">
            <w:pPr>
              <w:rPr>
                <w:rStyle w:val="Hyperlink"/>
                <w:rFonts w:cs="Calibri"/>
                <w:szCs w:val="22"/>
              </w:rPr>
            </w:pPr>
            <w:hyperlink r:id="rId10" w:history="1">
              <w:r w:rsidR="00D15AAD" w:rsidRPr="00D15AAD">
                <w:rPr>
                  <w:rStyle w:val="Hyperlink"/>
                  <w:rFonts w:cs="Calibri"/>
                  <w:szCs w:val="22"/>
                </w:rPr>
                <w:t>Coronial Services of New Zealand</w:t>
              </w:r>
            </w:hyperlink>
          </w:p>
          <w:p w14:paraId="659AC47C" w14:textId="77777777" w:rsidR="00DA0AE4" w:rsidRDefault="00000000" w:rsidP="00277796">
            <w:pPr>
              <w:rPr>
                <w:rStyle w:val="Hyperlink"/>
                <w:rFonts w:cs="Calibri"/>
                <w:szCs w:val="22"/>
              </w:rPr>
            </w:pPr>
            <w:hyperlink r:id="rId11" w:history="1">
              <w:r w:rsidR="00DA0AE4" w:rsidRPr="00DA0AE4">
                <w:rPr>
                  <w:rStyle w:val="Hyperlink"/>
                  <w:rFonts w:cs="Calibri"/>
                  <w:szCs w:val="22"/>
                </w:rPr>
                <w:t>Funeral Director Association NZ: What to do when someone dies.</w:t>
              </w:r>
            </w:hyperlink>
          </w:p>
          <w:p w14:paraId="659AC47D" w14:textId="77777777" w:rsidR="00277796" w:rsidRDefault="00000000" w:rsidP="00277796">
            <w:pPr>
              <w:rPr>
                <w:rStyle w:val="Hyperlink"/>
              </w:rPr>
            </w:pPr>
            <w:hyperlink r:id="rId12" w:history="1">
              <w:r w:rsidR="00277796" w:rsidRPr="00277796">
                <w:rPr>
                  <w:rStyle w:val="Hyperlink"/>
                  <w:rFonts w:cs="Calibri"/>
                  <w:szCs w:val="22"/>
                </w:rPr>
                <w:t xml:space="preserve">Govt.NZ. </w:t>
              </w:r>
              <w:r w:rsidR="00277796" w:rsidRPr="00277796">
                <w:rPr>
                  <w:rStyle w:val="Hyperlink"/>
                </w:rPr>
                <w:t>What you need to do when someone dies.</w:t>
              </w:r>
            </w:hyperlink>
          </w:p>
          <w:p w14:paraId="659AC47E" w14:textId="77777777" w:rsidR="00F42721" w:rsidRDefault="00000000" w:rsidP="00F42721">
            <w:pPr>
              <w:rPr>
                <w:rStyle w:val="Hyperlink"/>
                <w:rFonts w:cs="Calibri"/>
                <w:szCs w:val="22"/>
              </w:rPr>
            </w:pPr>
            <w:hyperlink r:id="rId13" w:history="1">
              <w:r w:rsidR="00F42721" w:rsidRPr="00EA3D69">
                <w:rPr>
                  <w:rStyle w:val="Hyperlink"/>
                </w:rPr>
                <w:t>HealthEd: Funerals in Aotearoa after a death by suicide: Guidance for whānau, kaumātua, funeral directors, celebrants and faith leaders - HE2613</w:t>
              </w:r>
            </w:hyperlink>
          </w:p>
          <w:p w14:paraId="659AC47F" w14:textId="77777777" w:rsidR="001F463D" w:rsidRPr="00277796" w:rsidRDefault="00000000" w:rsidP="00277796">
            <w:hyperlink r:id="rId14" w:anchor="Your_responsibilities" w:history="1">
              <w:r w:rsidR="001F463D" w:rsidRPr="001F463D">
                <w:rPr>
                  <w:rStyle w:val="Hyperlink"/>
                </w:rPr>
                <w:t>Information for doctors and nurse practitioners</w:t>
              </w:r>
            </w:hyperlink>
          </w:p>
          <w:p w14:paraId="659AC480" w14:textId="77777777" w:rsidR="00032927" w:rsidRDefault="00277796" w:rsidP="006F52A7">
            <w:pPr>
              <w:pStyle w:val="Heading1"/>
              <w:spacing w:before="0"/>
              <w:rPr>
                <w:rStyle w:val="Hyperlink"/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Style w:val="Hyperlink"/>
                <w:rFonts w:ascii="Calibri" w:hAnsi="Calibri" w:cs="Calibri"/>
                <w:color w:val="auto"/>
                <w:sz w:val="22"/>
                <w:szCs w:val="22"/>
              </w:rPr>
              <w:t xml:space="preserve">Justice GOVT. NZ. </w:t>
            </w:r>
            <w:hyperlink r:id="rId15" w:history="1">
              <w:r w:rsidR="00032927" w:rsidRPr="0003292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</w:rPr>
                <w:t>Get help after someone dies</w:t>
              </w:r>
            </w:hyperlink>
            <w:r w:rsidR="00486BDA">
              <w:rPr>
                <w:rStyle w:val="Hyperlink"/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14:paraId="659AC481" w14:textId="77777777" w:rsidR="006862FC" w:rsidRPr="00314673" w:rsidRDefault="00000000" w:rsidP="006862FC">
            <w:hyperlink r:id="rId16" w:history="1">
              <w:r w:rsidR="006862FC" w:rsidRPr="00314673">
                <w:rPr>
                  <w:rStyle w:val="Hyperlink"/>
                </w:rPr>
                <w:t xml:space="preserve">MOH: </w:t>
              </w:r>
              <w:r w:rsidR="00314673" w:rsidRPr="00314673">
                <w:rPr>
                  <w:rStyle w:val="Hyperlink"/>
                </w:rPr>
                <w:t>T</w:t>
              </w:r>
              <w:r w:rsidR="006862FC" w:rsidRPr="00314673">
                <w:rPr>
                  <w:rStyle w:val="Hyperlink"/>
                </w:rPr>
                <w:t>e Ara Whakapiri: Principles and guidance for the last days of life</w:t>
              </w:r>
              <w:r w:rsidR="00314673" w:rsidRPr="00314673">
                <w:rPr>
                  <w:rStyle w:val="Hyperlink"/>
                </w:rPr>
                <w:t>.</w:t>
              </w:r>
            </w:hyperlink>
          </w:p>
          <w:p w14:paraId="659AC482" w14:textId="77777777" w:rsidR="006F78DC" w:rsidRDefault="00000000" w:rsidP="006F52A7">
            <w:pPr>
              <w:pStyle w:val="Heading1"/>
              <w:spacing w:before="0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17" w:history="1">
              <w:r w:rsidR="006F78DC" w:rsidRPr="00486BD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Te Whatu Ora. Medical Certificate of Cause of Death.</w:t>
              </w:r>
            </w:hyperlink>
          </w:p>
          <w:p w14:paraId="659AC483" w14:textId="77777777" w:rsidR="00032927" w:rsidRPr="00486BDA" w:rsidRDefault="00000000" w:rsidP="00486BDA">
            <w:hyperlink r:id="rId18" w:history="1">
              <w:r w:rsidR="00486BDA" w:rsidRPr="00486BDA">
                <w:rPr>
                  <w:rStyle w:val="Hyperlink"/>
                </w:rPr>
                <w:t>Te Whatu Ora. Referring a death to the coroner.</w:t>
              </w:r>
            </w:hyperlink>
          </w:p>
        </w:tc>
      </w:tr>
      <w:tr w:rsidR="00032927" w:rsidRPr="00DB66B9" w14:paraId="659AC48A" w14:textId="77777777" w:rsidTr="00730A52">
        <w:tc>
          <w:tcPr>
            <w:tcW w:w="1668" w:type="dxa"/>
            <w:shd w:val="clear" w:color="auto" w:fill="F2F2F2" w:themeFill="background1" w:themeFillShade="F2"/>
          </w:tcPr>
          <w:p w14:paraId="659AC485" w14:textId="77777777" w:rsidR="00401DAE" w:rsidRPr="006A1DD6" w:rsidRDefault="00401DAE" w:rsidP="00401DAE">
            <w:pPr>
              <w:rPr>
                <w:b/>
              </w:rPr>
            </w:pPr>
            <w:r w:rsidRPr="006A1DD6">
              <w:rPr>
                <w:b/>
              </w:rPr>
              <w:t>Our related</w:t>
            </w:r>
          </w:p>
          <w:p w14:paraId="659AC486" w14:textId="77777777" w:rsidR="00032927" w:rsidRPr="006A1DD6" w:rsidRDefault="00032927" w:rsidP="00401DAE">
            <w:pPr>
              <w:rPr>
                <w:b/>
              </w:rPr>
            </w:pPr>
            <w:r w:rsidRPr="006A1DD6">
              <w:rPr>
                <w:b/>
              </w:rPr>
              <w:t>policies/</w:t>
            </w:r>
          </w:p>
          <w:p w14:paraId="659AC487" w14:textId="77777777" w:rsidR="00032927" w:rsidRPr="00DB66B9" w:rsidRDefault="00032927" w:rsidP="00401DAE">
            <w:r w:rsidRPr="006A1DD6">
              <w:rPr>
                <w:b/>
              </w:rPr>
              <w:t>procedures</w:t>
            </w:r>
          </w:p>
        </w:tc>
        <w:tc>
          <w:tcPr>
            <w:tcW w:w="8499" w:type="dxa"/>
            <w:shd w:val="clear" w:color="auto" w:fill="auto"/>
          </w:tcPr>
          <w:p w14:paraId="659AC488" w14:textId="77777777" w:rsidR="00032927" w:rsidRDefault="00032927" w:rsidP="00401DAE">
            <w:r w:rsidRPr="005A3956">
              <w:t>Adverse event</w:t>
            </w:r>
            <w:r w:rsidR="00401DAE">
              <w:t>s</w:t>
            </w:r>
            <w:r w:rsidRPr="005A3956">
              <w:t xml:space="preserve"> </w:t>
            </w:r>
          </w:p>
          <w:p w14:paraId="659AC489" w14:textId="77777777" w:rsidR="001E0961" w:rsidRPr="00DB66B9" w:rsidRDefault="001E0961" w:rsidP="00401DAE">
            <w:pPr>
              <w:rPr>
                <w:rFonts w:cs="Calibri"/>
                <w:b/>
                <w:szCs w:val="22"/>
              </w:rPr>
            </w:pPr>
            <w:r>
              <w:t>Health and safety</w:t>
            </w:r>
          </w:p>
        </w:tc>
      </w:tr>
      <w:tr w:rsidR="006A1DD6" w:rsidRPr="00DB66B9" w14:paraId="659AC48D" w14:textId="77777777" w:rsidTr="00730A52">
        <w:tc>
          <w:tcPr>
            <w:tcW w:w="10167" w:type="dxa"/>
            <w:gridSpan w:val="2"/>
            <w:shd w:val="clear" w:color="auto" w:fill="F2F2F2" w:themeFill="background1" w:themeFillShade="F2"/>
          </w:tcPr>
          <w:p w14:paraId="659AC48B" w14:textId="77777777" w:rsidR="006A1DD6" w:rsidRDefault="006A1DD6" w:rsidP="006A1DD6">
            <w:pPr>
              <w:rPr>
                <w:b/>
              </w:rPr>
            </w:pPr>
            <w:r w:rsidRPr="006A1DD6">
              <w:rPr>
                <w:b/>
              </w:rPr>
              <w:t>Definitions</w:t>
            </w:r>
          </w:p>
          <w:p w14:paraId="659AC48C" w14:textId="77777777" w:rsidR="006A1DD6" w:rsidRPr="006A1DD6" w:rsidRDefault="006A1DD6" w:rsidP="006A1DD6">
            <w:pPr>
              <w:rPr>
                <w:b/>
              </w:rPr>
            </w:pPr>
          </w:p>
        </w:tc>
      </w:tr>
      <w:tr w:rsidR="006A1DD6" w:rsidRPr="00DB66B9" w14:paraId="659AC490" w14:textId="77777777" w:rsidTr="00730A52">
        <w:tc>
          <w:tcPr>
            <w:tcW w:w="1668" w:type="dxa"/>
            <w:shd w:val="clear" w:color="auto" w:fill="F2F2F2" w:themeFill="background1" w:themeFillShade="F2"/>
          </w:tcPr>
          <w:p w14:paraId="659AC48E" w14:textId="77777777" w:rsidR="006A1DD6" w:rsidRPr="00AD5F8F" w:rsidRDefault="006A1DD6" w:rsidP="00AD5F8F">
            <w:pPr>
              <w:rPr>
                <w:rFonts w:cs="Calibri"/>
                <w:b/>
                <w:szCs w:val="22"/>
                <w:highlight w:val="lightGray"/>
              </w:rPr>
            </w:pPr>
            <w:r w:rsidRPr="00AD5F8F">
              <w:rPr>
                <w:b/>
              </w:rPr>
              <w:t>Death by natural causes</w:t>
            </w:r>
          </w:p>
        </w:tc>
        <w:tc>
          <w:tcPr>
            <w:tcW w:w="8499" w:type="dxa"/>
            <w:shd w:val="clear" w:color="auto" w:fill="auto"/>
          </w:tcPr>
          <w:p w14:paraId="659AC48F" w14:textId="77777777" w:rsidR="006A1DD6" w:rsidRPr="005A3956" w:rsidRDefault="00AD5F8F" w:rsidP="00AD5F8F">
            <w:pPr>
              <w:rPr>
                <w:rFonts w:cs="Calibri"/>
                <w:szCs w:val="22"/>
              </w:rPr>
            </w:pPr>
            <w:r>
              <w:t>A death that is primarily caused by a disease or illness not directly influenced by external forces.</w:t>
            </w:r>
          </w:p>
        </w:tc>
      </w:tr>
      <w:tr w:rsidR="00AD5F8F" w:rsidRPr="00DB66B9" w14:paraId="659AC493" w14:textId="77777777" w:rsidTr="00730A52">
        <w:tc>
          <w:tcPr>
            <w:tcW w:w="1668" w:type="dxa"/>
            <w:shd w:val="clear" w:color="auto" w:fill="F2F2F2" w:themeFill="background1" w:themeFillShade="F2"/>
          </w:tcPr>
          <w:p w14:paraId="659AC491" w14:textId="77777777" w:rsidR="00AD5F8F" w:rsidRPr="00AD5F8F" w:rsidRDefault="00AD5F8F" w:rsidP="00AD5F8F">
            <w:pPr>
              <w:rPr>
                <w:b/>
              </w:rPr>
            </w:pPr>
            <w:r w:rsidRPr="00AD5F8F">
              <w:rPr>
                <w:b/>
              </w:rPr>
              <w:t>Unnatural deaths</w:t>
            </w:r>
          </w:p>
        </w:tc>
        <w:tc>
          <w:tcPr>
            <w:tcW w:w="8499" w:type="dxa"/>
            <w:shd w:val="clear" w:color="auto" w:fill="auto"/>
          </w:tcPr>
          <w:p w14:paraId="659AC492" w14:textId="77777777" w:rsidR="00AD5F8F" w:rsidRDefault="00AD5F8F" w:rsidP="001071C1">
            <w:r>
              <w:t xml:space="preserve">All deaths that can’t be described as death by natural causes are categorised as unnatural deaths. </w:t>
            </w:r>
          </w:p>
        </w:tc>
      </w:tr>
      <w:tr w:rsidR="00797FF3" w:rsidRPr="00DB66B9" w14:paraId="659AC496" w14:textId="77777777" w:rsidTr="00730A52">
        <w:tc>
          <w:tcPr>
            <w:tcW w:w="1668" w:type="dxa"/>
            <w:shd w:val="clear" w:color="auto" w:fill="F2F2F2" w:themeFill="background1" w:themeFillShade="F2"/>
          </w:tcPr>
          <w:p w14:paraId="659AC494" w14:textId="77777777" w:rsidR="00797FF3" w:rsidRPr="00797FF3" w:rsidRDefault="00797FF3" w:rsidP="00AD5F8F">
            <w:pPr>
              <w:rPr>
                <w:b/>
                <w:i/>
              </w:rPr>
            </w:pPr>
            <w:r>
              <w:rPr>
                <w:rStyle w:val="Emphasis"/>
                <w:b/>
                <w:i w:val="0"/>
              </w:rPr>
              <w:t>T</w:t>
            </w:r>
            <w:r w:rsidRPr="00797FF3">
              <w:rPr>
                <w:rStyle w:val="Emphasis"/>
                <w:b/>
                <w:i w:val="0"/>
              </w:rPr>
              <w:t>ūpāpaku</w:t>
            </w:r>
          </w:p>
        </w:tc>
        <w:tc>
          <w:tcPr>
            <w:tcW w:w="8499" w:type="dxa"/>
            <w:shd w:val="clear" w:color="auto" w:fill="auto"/>
          </w:tcPr>
          <w:p w14:paraId="659AC495" w14:textId="77777777" w:rsidR="00797FF3" w:rsidRPr="00797FF3" w:rsidRDefault="00797FF3" w:rsidP="001071C1">
            <w:pPr>
              <w:rPr>
                <w:i/>
              </w:rPr>
            </w:pPr>
            <w:r>
              <w:rPr>
                <w:rStyle w:val="Emphasis"/>
                <w:i w:val="0"/>
              </w:rPr>
              <w:t xml:space="preserve"> The body of the </w:t>
            </w:r>
            <w:r w:rsidRPr="00797FF3">
              <w:rPr>
                <w:rStyle w:val="Emphasis"/>
                <w:i w:val="0"/>
              </w:rPr>
              <w:t>deceased</w:t>
            </w:r>
            <w:r>
              <w:rPr>
                <w:rStyle w:val="Emphasis"/>
                <w:i w:val="0"/>
              </w:rPr>
              <w:t>.</w:t>
            </w:r>
          </w:p>
        </w:tc>
      </w:tr>
    </w:tbl>
    <w:p w14:paraId="659AC497" w14:textId="77777777" w:rsidR="006D5795" w:rsidRDefault="006D5795"/>
    <w:p w14:paraId="659AC498" w14:textId="77777777" w:rsidR="00B41195" w:rsidRDefault="00B41195"/>
    <w:p w14:paraId="659AC499" w14:textId="77777777" w:rsidR="00B41195" w:rsidRDefault="00B41195"/>
    <w:p w14:paraId="659AC49A" w14:textId="77777777" w:rsidR="00B41195" w:rsidRDefault="00B41195"/>
    <w:p w14:paraId="659AC49B" w14:textId="77777777" w:rsidR="00B41195" w:rsidRDefault="00B41195"/>
    <w:p w14:paraId="659AC49C" w14:textId="77777777" w:rsidR="00B41195" w:rsidRDefault="00B41195"/>
    <w:p w14:paraId="659AC49D" w14:textId="77777777" w:rsidR="00B41195" w:rsidRDefault="00B41195"/>
    <w:p w14:paraId="659AC49E" w14:textId="77777777" w:rsidR="00B41195" w:rsidRDefault="00B41195"/>
    <w:p w14:paraId="659AC49F" w14:textId="77777777" w:rsidR="00B41195" w:rsidRDefault="00B41195"/>
    <w:p w14:paraId="659AC4A0" w14:textId="77777777" w:rsidR="00B41195" w:rsidRDefault="00B41195"/>
    <w:p w14:paraId="659AC4A1" w14:textId="77777777" w:rsidR="00B41195" w:rsidRDefault="00B41195"/>
    <w:p w14:paraId="659AC4A2" w14:textId="77777777" w:rsidR="00B41195" w:rsidRDefault="00B41195"/>
    <w:p w14:paraId="659AC4A3" w14:textId="77777777" w:rsidR="00B41195" w:rsidRDefault="00B41195"/>
    <w:p w14:paraId="659AC4A4" w14:textId="77777777" w:rsidR="00B41195" w:rsidRDefault="00B41195"/>
    <w:p w14:paraId="659AC4A5" w14:textId="77777777" w:rsidR="00B41195" w:rsidRDefault="00B41195"/>
    <w:p w14:paraId="659AC4A6" w14:textId="77777777" w:rsidR="00B41195" w:rsidRDefault="00B41195"/>
    <w:p w14:paraId="659AC4A7" w14:textId="77777777" w:rsidR="00B41195" w:rsidRDefault="00B41195"/>
    <w:p w14:paraId="659AC4A8" w14:textId="77777777" w:rsidR="00B41195" w:rsidRDefault="00B41195"/>
    <w:p w14:paraId="659AC4A9" w14:textId="77777777" w:rsidR="00B41195" w:rsidRDefault="00B411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103"/>
        <w:gridCol w:w="2410"/>
      </w:tblGrid>
      <w:tr w:rsidR="001F463D" w14:paraId="659AC4AC" w14:textId="77777777" w:rsidTr="006D5795">
        <w:tc>
          <w:tcPr>
            <w:tcW w:w="9918" w:type="dxa"/>
            <w:gridSpan w:val="3"/>
            <w:shd w:val="clear" w:color="auto" w:fill="F2F2F2" w:themeFill="background1" w:themeFillShade="F2"/>
          </w:tcPr>
          <w:p w14:paraId="659AC4AA" w14:textId="77777777" w:rsidR="001F463D" w:rsidRPr="0005312D" w:rsidRDefault="006D5795">
            <w:pPr>
              <w:rPr>
                <w:b/>
                <w:sz w:val="28"/>
                <w:szCs w:val="28"/>
              </w:rPr>
            </w:pPr>
            <w:r w:rsidRPr="0005312D">
              <w:rPr>
                <w:b/>
                <w:sz w:val="28"/>
                <w:szCs w:val="28"/>
              </w:rPr>
              <w:t>Processes: Death by natural causes</w:t>
            </w:r>
          </w:p>
          <w:p w14:paraId="659AC4AB" w14:textId="77777777" w:rsidR="006D5795" w:rsidRDefault="006D5795"/>
        </w:tc>
      </w:tr>
      <w:tr w:rsidR="00722257" w14:paraId="659AC4B7" w14:textId="77777777" w:rsidTr="009A7E10">
        <w:tc>
          <w:tcPr>
            <w:tcW w:w="2405" w:type="dxa"/>
            <w:shd w:val="clear" w:color="auto" w:fill="F2F2F2" w:themeFill="background1" w:themeFillShade="F2"/>
          </w:tcPr>
          <w:p w14:paraId="659AC4AD" w14:textId="77777777" w:rsidR="00FB0BCE" w:rsidRPr="00FB0BCE" w:rsidRDefault="00FB0BCE" w:rsidP="00FB0BCE">
            <w:pPr>
              <w:rPr>
                <w:b/>
              </w:rPr>
            </w:pPr>
            <w:r w:rsidRPr="00FB0BCE">
              <w:rPr>
                <w:b/>
              </w:rPr>
              <w:t>At the time of death:</w:t>
            </w:r>
          </w:p>
          <w:p w14:paraId="659AC4AE" w14:textId="77777777" w:rsidR="00722257" w:rsidRPr="00454638" w:rsidRDefault="00722257" w:rsidP="00CC1286">
            <w:pPr>
              <w:rPr>
                <w:b/>
              </w:rPr>
            </w:pPr>
          </w:p>
        </w:tc>
        <w:tc>
          <w:tcPr>
            <w:tcW w:w="7513" w:type="dxa"/>
            <w:gridSpan w:val="2"/>
            <w:shd w:val="clear" w:color="auto" w:fill="F2F2F2" w:themeFill="background1" w:themeFillShade="F2"/>
          </w:tcPr>
          <w:p w14:paraId="659AC4AF" w14:textId="77777777" w:rsidR="00FB0BCE" w:rsidRPr="00FB0BCE" w:rsidRDefault="00FB0BCE" w:rsidP="00FB0BCE">
            <w:pPr>
              <w:rPr>
                <w:rFonts w:cs="Calibri"/>
              </w:rPr>
            </w:pPr>
            <w:r>
              <w:t xml:space="preserve">Tangata whai ora/tangata whaikaha: </w:t>
            </w:r>
          </w:p>
          <w:p w14:paraId="659AC4B0" w14:textId="77777777" w:rsidR="00722257" w:rsidRPr="00FB0BCE" w:rsidRDefault="00FB0BCE" w:rsidP="00FB0BCE">
            <w:pPr>
              <w:pStyle w:val="Bullet"/>
              <w:spacing w:before="0"/>
              <w:rPr>
                <w:rFonts w:cs="Calibri"/>
              </w:rPr>
            </w:pPr>
            <w:r w:rsidRPr="00FB0BCE">
              <w:rPr>
                <w:rFonts w:cs="Calibri"/>
              </w:rPr>
              <w:t xml:space="preserve">Do </w:t>
            </w:r>
            <w:r w:rsidR="00722257" w:rsidRPr="00FB0BCE">
              <w:rPr>
                <w:rFonts w:cs="Calibri"/>
              </w:rPr>
              <w:t>not respond when</w:t>
            </w:r>
            <w:r>
              <w:rPr>
                <w:rFonts w:cs="Calibri"/>
              </w:rPr>
              <w:t xml:space="preserve"> </w:t>
            </w:r>
            <w:r w:rsidRPr="00FB0BCE">
              <w:rPr>
                <w:rFonts w:cs="Calibri"/>
              </w:rPr>
              <w:t>spoken to.</w:t>
            </w:r>
          </w:p>
          <w:p w14:paraId="659AC4B1" w14:textId="77777777" w:rsidR="00722257" w:rsidRPr="00FB0BCE" w:rsidRDefault="00FB0BCE" w:rsidP="00FB0BCE">
            <w:pPr>
              <w:pStyle w:val="Bullet"/>
              <w:spacing w:before="0"/>
              <w:rPr>
                <w:rFonts w:cs="Calibri"/>
              </w:rPr>
            </w:pPr>
            <w:r w:rsidRPr="00FB0BCE">
              <w:rPr>
                <w:rFonts w:cs="Calibri"/>
              </w:rPr>
              <w:t xml:space="preserve">Do </w:t>
            </w:r>
            <w:r w:rsidR="00722257" w:rsidRPr="00FB0BCE">
              <w:rPr>
                <w:rFonts w:cs="Calibri"/>
              </w:rPr>
              <w:t>not breathe or move.</w:t>
            </w:r>
          </w:p>
          <w:p w14:paraId="659AC4B2" w14:textId="77777777" w:rsidR="00722257" w:rsidRPr="00FB0BCE" w:rsidRDefault="00FB0BCE" w:rsidP="00FB0BCE">
            <w:pPr>
              <w:pStyle w:val="Bullet"/>
              <w:spacing w:before="0"/>
              <w:rPr>
                <w:rFonts w:cs="Calibri"/>
              </w:rPr>
            </w:pPr>
            <w:r w:rsidRPr="00FB0BCE">
              <w:rPr>
                <w:rFonts w:cs="Calibri"/>
              </w:rPr>
              <w:t>E</w:t>
            </w:r>
            <w:r w:rsidR="00722257" w:rsidRPr="00FB0BCE">
              <w:rPr>
                <w:rFonts w:cs="Calibri"/>
              </w:rPr>
              <w:t>yes may be open or closed, and their jaw will relax.</w:t>
            </w:r>
          </w:p>
          <w:p w14:paraId="659AC4B3" w14:textId="77777777" w:rsidR="00722257" w:rsidRPr="00B600D9" w:rsidRDefault="00FB0BCE" w:rsidP="00B600D9">
            <w:pPr>
              <w:pStyle w:val="Bullet"/>
              <w:spacing w:before="0" w:line="240" w:lineRule="auto"/>
              <w:rPr>
                <w:rFonts w:ascii="Georgia" w:hAnsi="Georgia"/>
                <w:b/>
              </w:rPr>
            </w:pPr>
            <w:r w:rsidRPr="00FB0BCE">
              <w:rPr>
                <w:rFonts w:cs="Calibri"/>
              </w:rPr>
              <w:t>S</w:t>
            </w:r>
            <w:r w:rsidR="00722257" w:rsidRPr="00FB0BCE">
              <w:rPr>
                <w:rFonts w:cs="Calibri"/>
              </w:rPr>
              <w:t xml:space="preserve">kin </w:t>
            </w:r>
            <w:r w:rsidR="001E0961">
              <w:rPr>
                <w:rFonts w:cs="Calibri"/>
              </w:rPr>
              <w:t xml:space="preserve">is </w:t>
            </w:r>
            <w:r w:rsidR="00722257" w:rsidRPr="00FB0BCE">
              <w:rPr>
                <w:rFonts w:cs="Calibri"/>
              </w:rPr>
              <w:t>pale and cool.</w:t>
            </w:r>
            <w:r w:rsidR="00B600D9">
              <w:rPr>
                <w:rFonts w:cs="Calibri"/>
              </w:rPr>
              <w:t xml:space="preserve"> </w:t>
            </w:r>
          </w:p>
          <w:p w14:paraId="659AC4B4" w14:textId="77777777" w:rsidR="00B600D9" w:rsidRPr="008B61E4" w:rsidRDefault="00B600D9" w:rsidP="00B600D9">
            <w:pPr>
              <w:pStyle w:val="Bullet"/>
              <w:spacing w:before="0" w:line="240" w:lineRule="auto"/>
              <w:rPr>
                <w:rFonts w:ascii="Georgia" w:hAnsi="Georgia"/>
                <w:b/>
              </w:rPr>
            </w:pPr>
            <w:r>
              <w:rPr>
                <w:rFonts w:cs="Calibri"/>
              </w:rPr>
              <w:t>Has no pulse.</w:t>
            </w:r>
          </w:p>
          <w:p w14:paraId="659AC4B5" w14:textId="77777777" w:rsidR="008B61E4" w:rsidRDefault="008B61E4" w:rsidP="008B61E4">
            <w:r>
              <w:t xml:space="preserve">Health care worker:  </w:t>
            </w:r>
          </w:p>
          <w:p w14:paraId="659AC4B6" w14:textId="77777777" w:rsidR="008B61E4" w:rsidRPr="008B61E4" w:rsidRDefault="000D58D3" w:rsidP="008B61E4">
            <w:pPr>
              <w:pStyle w:val="Bullet"/>
              <w:spacing w:before="0"/>
              <w:rPr>
                <w:rFonts w:cs="Calibri"/>
              </w:rPr>
            </w:pPr>
            <w:r>
              <w:rPr>
                <w:rFonts w:cs="Calibri"/>
              </w:rPr>
              <w:t>Make a note of the time when tangata whai ora/tangata whaikaha are identified having passed away</w:t>
            </w:r>
            <w:r w:rsidR="008B61E4" w:rsidRPr="008B61E4">
              <w:rPr>
                <w:rFonts w:cs="Calibri"/>
              </w:rPr>
              <w:t>.</w:t>
            </w:r>
          </w:p>
        </w:tc>
      </w:tr>
      <w:tr w:rsidR="006D5795" w14:paraId="659AC4BC" w14:textId="77777777" w:rsidTr="009A7E10">
        <w:tc>
          <w:tcPr>
            <w:tcW w:w="2405" w:type="dxa"/>
            <w:shd w:val="clear" w:color="auto" w:fill="F2F2F2" w:themeFill="background1" w:themeFillShade="F2"/>
          </w:tcPr>
          <w:p w14:paraId="659AC4B8" w14:textId="77777777" w:rsidR="006D5795" w:rsidRPr="00454638" w:rsidRDefault="006D5795" w:rsidP="00CC1286">
            <w:pPr>
              <w:rPr>
                <w:b/>
              </w:rPr>
            </w:pPr>
            <w:r w:rsidRPr="00454638">
              <w:rPr>
                <w:b/>
              </w:rPr>
              <w:t>Responsibility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659AC4B9" w14:textId="77777777" w:rsidR="006D5795" w:rsidRPr="00454638" w:rsidRDefault="006D5795" w:rsidP="00CC1286">
            <w:pPr>
              <w:rPr>
                <w:b/>
              </w:rPr>
            </w:pPr>
            <w:r w:rsidRPr="00454638">
              <w:rPr>
                <w:b/>
              </w:rPr>
              <w:t>Action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59AC4BA" w14:textId="77777777" w:rsidR="006D5795" w:rsidRDefault="006D5795" w:rsidP="00CC1286">
            <w:pPr>
              <w:rPr>
                <w:b/>
              </w:rPr>
            </w:pPr>
            <w:r w:rsidRPr="00454638">
              <w:rPr>
                <w:b/>
              </w:rPr>
              <w:t>Timeframe</w:t>
            </w:r>
          </w:p>
          <w:p w14:paraId="659AC4BB" w14:textId="77777777" w:rsidR="00454638" w:rsidRPr="00454638" w:rsidRDefault="00454638" w:rsidP="00CC1286">
            <w:pPr>
              <w:rPr>
                <w:b/>
              </w:rPr>
            </w:pPr>
          </w:p>
        </w:tc>
      </w:tr>
      <w:tr w:rsidR="006D5795" w14:paraId="659AC4C5" w14:textId="77777777" w:rsidTr="009A7E10">
        <w:tc>
          <w:tcPr>
            <w:tcW w:w="2405" w:type="dxa"/>
            <w:shd w:val="clear" w:color="auto" w:fill="F2F2F2" w:themeFill="background1" w:themeFillShade="F2"/>
          </w:tcPr>
          <w:p w14:paraId="659AC4BD" w14:textId="77777777" w:rsidR="006D5795" w:rsidRPr="00722257" w:rsidRDefault="008D5E69" w:rsidP="007B5032">
            <w:pPr>
              <w:rPr>
                <w:b/>
              </w:rPr>
            </w:pPr>
            <w:r w:rsidRPr="00722257">
              <w:rPr>
                <w:b/>
              </w:rPr>
              <w:t xml:space="preserve">Health care worker </w:t>
            </w:r>
            <w:r w:rsidR="001036C9" w:rsidRPr="00722257">
              <w:rPr>
                <w:b/>
              </w:rPr>
              <w:t xml:space="preserve">being present or </w:t>
            </w:r>
            <w:r w:rsidRPr="00722257">
              <w:rPr>
                <w:b/>
              </w:rPr>
              <w:t>finding tangata whai ora/tangata whaikaha has passed away at our service’s premises</w:t>
            </w:r>
            <w:r w:rsidR="000D58D3">
              <w:rPr>
                <w:b/>
              </w:rPr>
              <w:t xml:space="preserve"> or during a home visit</w:t>
            </w:r>
            <w:r w:rsidR="007B5032">
              <w:rPr>
                <w:b/>
              </w:rPr>
              <w:t>.</w:t>
            </w:r>
          </w:p>
        </w:tc>
        <w:tc>
          <w:tcPr>
            <w:tcW w:w="5103" w:type="dxa"/>
          </w:tcPr>
          <w:p w14:paraId="659AC4BE" w14:textId="77777777" w:rsidR="005D1C25" w:rsidRDefault="005D1C25" w:rsidP="005D1C25">
            <w:r>
              <w:t>Phone the manager/team leader and confirm who is responsible for the following actions:</w:t>
            </w:r>
          </w:p>
          <w:p w14:paraId="659AC4BF" w14:textId="77777777" w:rsidR="005D1C25" w:rsidRDefault="005D1C25" w:rsidP="005D1C25">
            <w:pPr>
              <w:pStyle w:val="ListParagraph"/>
              <w:numPr>
                <w:ilvl w:val="0"/>
                <w:numId w:val="7"/>
              </w:numPr>
            </w:pPr>
            <w:r>
              <w:t xml:space="preserve">Contacting </w:t>
            </w:r>
            <w:r w:rsidR="001E0961">
              <w:t>the deceased’s</w:t>
            </w:r>
            <w:r w:rsidR="00EC0875">
              <w:t>/tūpāpaku</w:t>
            </w:r>
            <w:r w:rsidR="001E0961">
              <w:t xml:space="preserve"> </w:t>
            </w:r>
            <w:r>
              <w:t>GP.</w:t>
            </w:r>
          </w:p>
          <w:p w14:paraId="659AC4C0" w14:textId="77777777" w:rsidR="005D1C25" w:rsidRDefault="005D1C25" w:rsidP="005D1C25">
            <w:pPr>
              <w:pStyle w:val="ListParagraph"/>
              <w:numPr>
                <w:ilvl w:val="0"/>
                <w:numId w:val="7"/>
              </w:numPr>
            </w:pPr>
            <w:r>
              <w:t>Contacting wh</w:t>
            </w:r>
            <w:r>
              <w:rPr>
                <w:rFonts w:cs="Calibri"/>
              </w:rPr>
              <w:t>ā</w:t>
            </w:r>
            <w:r>
              <w:t>nau.</w:t>
            </w:r>
          </w:p>
          <w:p w14:paraId="659AC4C1" w14:textId="77777777" w:rsidR="005D1C25" w:rsidRDefault="002402FA" w:rsidP="002402FA">
            <w:pPr>
              <w:pStyle w:val="ListParagraph"/>
              <w:numPr>
                <w:ilvl w:val="0"/>
                <w:numId w:val="7"/>
              </w:numPr>
            </w:pPr>
            <w:r>
              <w:t>Contacting funeral director.</w:t>
            </w:r>
          </w:p>
          <w:p w14:paraId="659AC4C2" w14:textId="77777777" w:rsidR="002402FA" w:rsidRDefault="002402FA" w:rsidP="002402FA">
            <w:r>
              <w:t xml:space="preserve">The actions </w:t>
            </w:r>
            <w:r w:rsidR="00EC0875">
              <w:t>are implemented as discussed.</w:t>
            </w:r>
          </w:p>
        </w:tc>
        <w:tc>
          <w:tcPr>
            <w:tcW w:w="2410" w:type="dxa"/>
          </w:tcPr>
          <w:p w14:paraId="659AC4C3" w14:textId="77777777" w:rsidR="006D5795" w:rsidRDefault="008D5E69" w:rsidP="00CC1286">
            <w:r>
              <w:t>Immediately</w:t>
            </w:r>
          </w:p>
          <w:p w14:paraId="659AC4C4" w14:textId="77777777" w:rsidR="002402FA" w:rsidRDefault="002402FA" w:rsidP="002402FA">
            <w:r>
              <w:t>(Contact on-call manager/team leader and on-call GP if necessary.)</w:t>
            </w:r>
          </w:p>
        </w:tc>
      </w:tr>
      <w:tr w:rsidR="00BF6EE5" w14:paraId="659AC4CD" w14:textId="77777777" w:rsidTr="009A7E10">
        <w:tc>
          <w:tcPr>
            <w:tcW w:w="2405" w:type="dxa"/>
            <w:shd w:val="clear" w:color="auto" w:fill="F2F2F2" w:themeFill="background1" w:themeFillShade="F2"/>
          </w:tcPr>
          <w:p w14:paraId="659AC4C6" w14:textId="77777777" w:rsidR="00BF6EE5" w:rsidRPr="00454638" w:rsidRDefault="00454638" w:rsidP="00CC1286">
            <w:pPr>
              <w:rPr>
                <w:b/>
              </w:rPr>
            </w:pPr>
            <w:r w:rsidRPr="00454638">
              <w:rPr>
                <w:b/>
              </w:rPr>
              <w:t>Our team</w:t>
            </w:r>
          </w:p>
        </w:tc>
        <w:tc>
          <w:tcPr>
            <w:tcW w:w="5103" w:type="dxa"/>
          </w:tcPr>
          <w:p w14:paraId="659AC4C7" w14:textId="77777777" w:rsidR="00BF6EE5" w:rsidRDefault="00454638" w:rsidP="005D1C25">
            <w:pPr>
              <w:rPr>
                <w:b/>
              </w:rPr>
            </w:pPr>
            <w:r w:rsidRPr="00454638">
              <w:rPr>
                <w:b/>
              </w:rPr>
              <w:t>Supports:</w:t>
            </w:r>
          </w:p>
          <w:p w14:paraId="659AC4C8" w14:textId="77777777" w:rsidR="00454638" w:rsidRDefault="001E0961" w:rsidP="00454638">
            <w:pPr>
              <w:pStyle w:val="ListParagraph"/>
              <w:numPr>
                <w:ilvl w:val="0"/>
                <w:numId w:val="9"/>
              </w:numPr>
            </w:pPr>
            <w:r>
              <w:t>The deceased</w:t>
            </w:r>
            <w:r w:rsidR="00EC0875">
              <w:t>’s/tūpāpaku</w:t>
            </w:r>
            <w:r>
              <w:t xml:space="preserve"> </w:t>
            </w:r>
            <w:r w:rsidR="00454638">
              <w:t>wh</w:t>
            </w:r>
            <w:r w:rsidR="00454638" w:rsidRPr="00454638">
              <w:rPr>
                <w:rFonts w:cs="Calibri"/>
              </w:rPr>
              <w:t>ā</w:t>
            </w:r>
            <w:r w:rsidR="00454638">
              <w:t>nau and friends.</w:t>
            </w:r>
          </w:p>
          <w:p w14:paraId="659AC4C9" w14:textId="77777777" w:rsidR="00722257" w:rsidRDefault="00CE152D" w:rsidP="00454638">
            <w:pPr>
              <w:pStyle w:val="ListParagraph"/>
              <w:numPr>
                <w:ilvl w:val="0"/>
                <w:numId w:val="9"/>
              </w:numPr>
            </w:pPr>
            <w:r>
              <w:t>Initiati</w:t>
            </w:r>
            <w:r w:rsidR="000D58D3">
              <w:t xml:space="preserve">ng </w:t>
            </w:r>
            <w:r>
              <w:t>t</w:t>
            </w:r>
            <w:r w:rsidR="00722257">
              <w:t>ikanga M</w:t>
            </w:r>
            <w:r w:rsidR="00722257" w:rsidRPr="006862FC">
              <w:rPr>
                <w:rFonts w:cs="Calibri"/>
              </w:rPr>
              <w:t>ā</w:t>
            </w:r>
            <w:r w:rsidR="00722257">
              <w:t>ori processes</w:t>
            </w:r>
            <w:r>
              <w:t>.</w:t>
            </w:r>
          </w:p>
          <w:p w14:paraId="659AC4CA" w14:textId="77777777" w:rsidR="00454638" w:rsidRDefault="00000000" w:rsidP="00454638">
            <w:pPr>
              <w:pStyle w:val="ListParagraph"/>
              <w:numPr>
                <w:ilvl w:val="0"/>
                <w:numId w:val="9"/>
              </w:numPr>
            </w:pPr>
            <w:hyperlink r:id="rId19" w:history="1">
              <w:r w:rsidR="00454638" w:rsidRPr="006862FC">
                <w:rPr>
                  <w:rStyle w:val="Hyperlink"/>
                </w:rPr>
                <w:t>Cultural relevant processes</w:t>
              </w:r>
            </w:hyperlink>
            <w:r w:rsidR="00454638">
              <w:rPr>
                <w:rStyle w:val="Hyperlink"/>
              </w:rPr>
              <w:t>.</w:t>
            </w:r>
          </w:p>
          <w:p w14:paraId="659AC4CB" w14:textId="77777777" w:rsidR="00454638" w:rsidRPr="00454638" w:rsidRDefault="00722257" w:rsidP="00EC0875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t xml:space="preserve">People </w:t>
            </w:r>
            <w:r w:rsidR="001E0961">
              <w:t>the deceased</w:t>
            </w:r>
            <w:r w:rsidR="00EC0875">
              <w:t>/tūpāpaku</w:t>
            </w:r>
            <w:r w:rsidR="001E0961">
              <w:t xml:space="preserve"> </w:t>
            </w:r>
            <w:r>
              <w:t>shared accommodation and activities with</w:t>
            </w:r>
            <w:r w:rsidRPr="00722257">
              <w:t xml:space="preserve">. </w:t>
            </w:r>
          </w:p>
        </w:tc>
        <w:tc>
          <w:tcPr>
            <w:tcW w:w="2410" w:type="dxa"/>
          </w:tcPr>
          <w:p w14:paraId="659AC4CC" w14:textId="77777777" w:rsidR="00BF6EE5" w:rsidRDefault="00454638" w:rsidP="00722257">
            <w:r>
              <w:t>From the time tangata whai ora/tangata whaikaha ha</w:t>
            </w:r>
            <w:r w:rsidR="00722257">
              <w:t>s</w:t>
            </w:r>
            <w:r>
              <w:t xml:space="preserve"> passed away.</w:t>
            </w:r>
          </w:p>
        </w:tc>
      </w:tr>
      <w:tr w:rsidR="00275125" w14:paraId="659AC4D2" w14:textId="77777777" w:rsidTr="009A7E10"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659AC4CE" w14:textId="77777777" w:rsidR="00275125" w:rsidRPr="0005312D" w:rsidRDefault="00275125" w:rsidP="00CC1286">
            <w:pPr>
              <w:rPr>
                <w:b/>
              </w:rPr>
            </w:pPr>
            <w:r w:rsidRPr="0005312D">
              <w:rPr>
                <w:b/>
              </w:rPr>
              <w:t>Manager/team leader</w:t>
            </w:r>
          </w:p>
        </w:tc>
        <w:tc>
          <w:tcPr>
            <w:tcW w:w="5103" w:type="dxa"/>
          </w:tcPr>
          <w:p w14:paraId="659AC4CF" w14:textId="77777777" w:rsidR="00275125" w:rsidRPr="00B41195" w:rsidRDefault="00275125" w:rsidP="005D1C25">
            <w:pPr>
              <w:rPr>
                <w:b/>
              </w:rPr>
            </w:pPr>
            <w:r w:rsidRPr="00B41195">
              <w:rPr>
                <w:b/>
              </w:rPr>
              <w:t>Ensures:</w:t>
            </w:r>
          </w:p>
          <w:p w14:paraId="659AC4D0" w14:textId="77777777" w:rsidR="00275125" w:rsidRDefault="00275125" w:rsidP="0005312D">
            <w:r w:rsidRPr="00B41195">
              <w:rPr>
                <w:rFonts w:cs="Calibri"/>
                <w:bCs/>
              </w:rPr>
              <w:t xml:space="preserve">The </w:t>
            </w:r>
            <w:r w:rsidRPr="00B41195">
              <w:rPr>
                <w:rFonts w:cs="Calibri"/>
                <w:bCs/>
                <w:iCs/>
              </w:rPr>
              <w:t xml:space="preserve">Medical Certificate of </w:t>
            </w:r>
            <w:r w:rsidR="0005312D">
              <w:rPr>
                <w:rFonts w:cs="Calibri"/>
                <w:bCs/>
                <w:iCs/>
              </w:rPr>
              <w:t>c</w:t>
            </w:r>
            <w:r w:rsidRPr="00B41195">
              <w:rPr>
                <w:rFonts w:cs="Calibri"/>
                <w:bCs/>
                <w:iCs/>
              </w:rPr>
              <w:t xml:space="preserve">ause of </w:t>
            </w:r>
            <w:r w:rsidR="0005312D">
              <w:rPr>
                <w:rFonts w:cs="Calibri"/>
                <w:bCs/>
                <w:iCs/>
              </w:rPr>
              <w:t>d</w:t>
            </w:r>
            <w:r w:rsidRPr="00B41195">
              <w:rPr>
                <w:rFonts w:cs="Calibri"/>
                <w:bCs/>
                <w:iCs/>
              </w:rPr>
              <w:t>eath</w:t>
            </w:r>
            <w:r w:rsidRPr="00B41195">
              <w:rPr>
                <w:rFonts w:cs="Calibri"/>
                <w:bCs/>
                <w:i/>
                <w:iCs/>
              </w:rPr>
              <w:t xml:space="preserve"> </w:t>
            </w:r>
            <w:r w:rsidRPr="00B41195">
              <w:rPr>
                <w:rFonts w:cs="Calibri"/>
                <w:bCs/>
              </w:rPr>
              <w:t xml:space="preserve">must accompany the </w:t>
            </w:r>
            <w:r w:rsidR="00090F7E">
              <w:rPr>
                <w:rFonts w:cs="Calibri"/>
                <w:bCs/>
              </w:rPr>
              <w:t>deceased’s</w:t>
            </w:r>
            <w:r w:rsidR="00EC0875">
              <w:rPr>
                <w:rFonts w:cs="Calibri"/>
                <w:bCs/>
              </w:rPr>
              <w:t>/</w:t>
            </w:r>
            <w:r w:rsidR="00EC0875">
              <w:t xml:space="preserve"> tūpāpaku</w:t>
            </w:r>
            <w:r w:rsidR="00EC0875" w:rsidRPr="00B41195">
              <w:rPr>
                <w:rFonts w:cs="Calibri"/>
                <w:bCs/>
              </w:rPr>
              <w:t xml:space="preserve"> </w:t>
            </w:r>
            <w:r w:rsidRPr="00B41195">
              <w:rPr>
                <w:rFonts w:cs="Calibri"/>
                <w:bCs/>
              </w:rPr>
              <w:t>body when it is moved</w:t>
            </w:r>
            <w:r>
              <w:rPr>
                <w:rFonts w:cs="Calibri"/>
                <w:bCs/>
              </w:rPr>
              <w:t xml:space="preserve"> from our premises</w:t>
            </w:r>
            <w:r w:rsidRPr="00B41195">
              <w:rPr>
                <w:rFonts w:cs="Calibri"/>
                <w:bCs/>
              </w:rPr>
              <w:t>.</w:t>
            </w:r>
          </w:p>
        </w:tc>
        <w:tc>
          <w:tcPr>
            <w:tcW w:w="2410" w:type="dxa"/>
          </w:tcPr>
          <w:p w14:paraId="659AC4D1" w14:textId="77777777" w:rsidR="00275125" w:rsidRDefault="00275125" w:rsidP="00EC0875">
            <w:r>
              <w:t>At the time the</w:t>
            </w:r>
            <w:r w:rsidR="00FB35E2">
              <w:t xml:space="preserve"> body</w:t>
            </w:r>
            <w:r w:rsidR="009D6A61">
              <w:t xml:space="preserve"> of the deceased</w:t>
            </w:r>
            <w:r w:rsidR="00790BD5">
              <w:t>/tūpāpaku</w:t>
            </w:r>
            <w:r w:rsidR="00FB35E2">
              <w:t xml:space="preserve"> is moved. </w:t>
            </w:r>
          </w:p>
        </w:tc>
      </w:tr>
      <w:tr w:rsidR="00FC02E1" w14:paraId="659AC4D7" w14:textId="77777777" w:rsidTr="009A7E10">
        <w:tc>
          <w:tcPr>
            <w:tcW w:w="2405" w:type="dxa"/>
            <w:vMerge/>
            <w:shd w:val="clear" w:color="auto" w:fill="F2F2F2" w:themeFill="background1" w:themeFillShade="F2"/>
          </w:tcPr>
          <w:p w14:paraId="659AC4D3" w14:textId="77777777" w:rsidR="00FC02E1" w:rsidRPr="0005312D" w:rsidRDefault="00FC02E1" w:rsidP="00CC1286">
            <w:pPr>
              <w:rPr>
                <w:b/>
              </w:rPr>
            </w:pPr>
          </w:p>
        </w:tc>
        <w:tc>
          <w:tcPr>
            <w:tcW w:w="5103" w:type="dxa"/>
          </w:tcPr>
          <w:p w14:paraId="659AC4D4" w14:textId="77777777" w:rsidR="00FC02E1" w:rsidRDefault="00FC02E1" w:rsidP="005D1C25">
            <w:pPr>
              <w:rPr>
                <w:b/>
              </w:rPr>
            </w:pPr>
            <w:r>
              <w:rPr>
                <w:b/>
              </w:rPr>
              <w:t>Ensures:</w:t>
            </w:r>
          </w:p>
          <w:p w14:paraId="659AC4D5" w14:textId="77777777" w:rsidR="00FC02E1" w:rsidRPr="00B41195" w:rsidRDefault="00FC02E1" w:rsidP="00EC0875">
            <w:pPr>
              <w:rPr>
                <w:b/>
              </w:rPr>
            </w:pPr>
            <w:r w:rsidRPr="00172DE5">
              <w:t xml:space="preserve">De-brief for </w:t>
            </w:r>
            <w:r w:rsidR="00172DE5" w:rsidRPr="00172DE5">
              <w:t>staff and people</w:t>
            </w:r>
            <w:r w:rsidR="00172DE5">
              <w:t xml:space="preserve"> </w:t>
            </w:r>
            <w:r w:rsidR="00EC0875">
              <w:t xml:space="preserve">the deceased/tūpāpaku </w:t>
            </w:r>
            <w:r w:rsidR="00172DE5">
              <w:t>shared accommodation and activities with</w:t>
            </w:r>
            <w:r w:rsidR="00172DE5" w:rsidRPr="00722257">
              <w:t>.</w:t>
            </w:r>
          </w:p>
        </w:tc>
        <w:tc>
          <w:tcPr>
            <w:tcW w:w="2410" w:type="dxa"/>
          </w:tcPr>
          <w:p w14:paraId="659AC4D6" w14:textId="77777777" w:rsidR="00FC02E1" w:rsidRDefault="00172DE5" w:rsidP="00FB35E2">
            <w:r>
              <w:t>Within 48 hours</w:t>
            </w:r>
          </w:p>
        </w:tc>
      </w:tr>
      <w:tr w:rsidR="00275125" w14:paraId="659AC4E6" w14:textId="77777777" w:rsidTr="009A7E10">
        <w:tc>
          <w:tcPr>
            <w:tcW w:w="2405" w:type="dxa"/>
            <w:vMerge/>
            <w:shd w:val="clear" w:color="auto" w:fill="F2F2F2" w:themeFill="background1" w:themeFillShade="F2"/>
          </w:tcPr>
          <w:p w14:paraId="659AC4D8" w14:textId="77777777" w:rsidR="00275125" w:rsidRDefault="00275125" w:rsidP="00CC1286"/>
        </w:tc>
        <w:tc>
          <w:tcPr>
            <w:tcW w:w="5103" w:type="dxa"/>
          </w:tcPr>
          <w:p w14:paraId="659AC4D9" w14:textId="77777777" w:rsidR="00275125" w:rsidRDefault="00275125" w:rsidP="00B41195">
            <w:pPr>
              <w:pStyle w:val="Bullet"/>
              <w:numPr>
                <w:ilvl w:val="0"/>
                <w:numId w:val="0"/>
              </w:numPr>
              <w:spacing w:before="0"/>
            </w:pPr>
            <w:r w:rsidRPr="00275125">
              <w:rPr>
                <w:b/>
              </w:rPr>
              <w:t xml:space="preserve">Informs </w:t>
            </w:r>
            <w:r>
              <w:t>the following people and agencies of the death:</w:t>
            </w:r>
          </w:p>
          <w:p w14:paraId="659AC4DA" w14:textId="77777777" w:rsidR="00275125" w:rsidRDefault="00275125" w:rsidP="00275125">
            <w:pPr>
              <w:pStyle w:val="Bullet"/>
              <w:spacing w:before="0" w:line="240" w:lineRule="auto"/>
            </w:pPr>
            <w:r>
              <w:t xml:space="preserve">Clinical services </w:t>
            </w:r>
            <w:r w:rsidR="00E47112">
              <w:t xml:space="preserve">who have been </w:t>
            </w:r>
            <w:r>
              <w:t>involved in the care of</w:t>
            </w:r>
            <w:r w:rsidR="00EC0875">
              <w:t xml:space="preserve"> the deceased/tūpāpaku</w:t>
            </w:r>
            <w:r>
              <w:t>.</w:t>
            </w:r>
          </w:p>
          <w:p w14:paraId="659AC4DB" w14:textId="77777777" w:rsidR="00275125" w:rsidRDefault="00275125" w:rsidP="00275125">
            <w:pPr>
              <w:pStyle w:val="Bullet"/>
              <w:spacing w:before="0" w:line="240" w:lineRule="auto"/>
            </w:pPr>
            <w:r>
              <w:t xml:space="preserve">Agency that provided funding. </w:t>
            </w:r>
          </w:p>
          <w:p w14:paraId="659AC4DC" w14:textId="77777777" w:rsidR="00275125" w:rsidRDefault="00275125" w:rsidP="00275125">
            <w:pPr>
              <w:pStyle w:val="Bullet"/>
              <w:spacing w:before="0" w:line="240" w:lineRule="auto"/>
            </w:pPr>
            <w:r>
              <w:t>Referrer.</w:t>
            </w:r>
          </w:p>
          <w:p w14:paraId="659AC4DD" w14:textId="77777777" w:rsidR="00275125" w:rsidRDefault="000D58D3" w:rsidP="000D58D3">
            <w:pPr>
              <w:pStyle w:val="Bullet"/>
              <w:spacing w:before="0" w:line="240" w:lineRule="auto"/>
            </w:pPr>
            <w:r>
              <w:t>Our b</w:t>
            </w:r>
            <w:r w:rsidR="00275125">
              <w:t>oard of trustees/directors or owner.</w:t>
            </w:r>
          </w:p>
          <w:p w14:paraId="659AC4DE" w14:textId="77777777" w:rsidR="00EC0875" w:rsidRPr="00B41195" w:rsidRDefault="00EC0875" w:rsidP="000D58D3">
            <w:pPr>
              <w:pStyle w:val="Bullet"/>
              <w:spacing w:before="0" w:line="240" w:lineRule="auto"/>
            </w:pPr>
            <w:r>
              <w:t>Disability/</w:t>
            </w:r>
            <w:hyperlink r:id="rId20" w:history="1">
              <w:r w:rsidRPr="00CE1225">
                <w:rPr>
                  <w:rStyle w:val="Hyperlink"/>
                </w:rPr>
                <w:t>Whaikaha services reporting</w:t>
              </w:r>
            </w:hyperlink>
            <w:r>
              <w:t>.</w:t>
            </w:r>
          </w:p>
        </w:tc>
        <w:tc>
          <w:tcPr>
            <w:tcW w:w="2410" w:type="dxa"/>
          </w:tcPr>
          <w:p w14:paraId="659AC4DF" w14:textId="77777777" w:rsidR="00275125" w:rsidRDefault="00275125" w:rsidP="00CC1286">
            <w:r>
              <w:t>Within 5 working days of the death.</w:t>
            </w:r>
          </w:p>
          <w:p w14:paraId="659AC4E0" w14:textId="77777777" w:rsidR="00EC0875" w:rsidRDefault="00EC0875" w:rsidP="00CC1286"/>
          <w:p w14:paraId="659AC4E1" w14:textId="77777777" w:rsidR="00EC0875" w:rsidRDefault="00EC0875" w:rsidP="00CC1286"/>
          <w:p w14:paraId="659AC4E2" w14:textId="77777777" w:rsidR="00EC0875" w:rsidRDefault="00EC0875" w:rsidP="00CC1286"/>
          <w:p w14:paraId="659AC4E3" w14:textId="77777777" w:rsidR="00EC0875" w:rsidRDefault="00EC0875" w:rsidP="00CC1286"/>
          <w:p w14:paraId="659AC4E4" w14:textId="77777777" w:rsidR="00EC0875" w:rsidRDefault="00EC0875" w:rsidP="00CC1286"/>
          <w:p w14:paraId="659AC4E5" w14:textId="77777777" w:rsidR="00EC0875" w:rsidRDefault="00EC0875" w:rsidP="00CC1286">
            <w:r>
              <w:t>Within 24/hour of the death.</w:t>
            </w:r>
          </w:p>
        </w:tc>
      </w:tr>
    </w:tbl>
    <w:p w14:paraId="659AC4E7" w14:textId="77777777" w:rsidR="001F463D" w:rsidRDefault="001F463D" w:rsidP="00CC1286"/>
    <w:p w14:paraId="659AC4E8" w14:textId="77777777" w:rsidR="0005312D" w:rsidRDefault="0005312D" w:rsidP="00CC1286"/>
    <w:p w14:paraId="659AC4E9" w14:textId="77777777" w:rsidR="0005312D" w:rsidRDefault="0005312D" w:rsidP="00CC1286"/>
    <w:p w14:paraId="659AC4EA" w14:textId="77777777" w:rsidR="0005312D" w:rsidRDefault="0005312D" w:rsidP="00CC1286"/>
    <w:p w14:paraId="659AC4EB" w14:textId="77777777" w:rsidR="0005312D" w:rsidRDefault="0005312D" w:rsidP="00CC1286"/>
    <w:p w14:paraId="659AC4EC" w14:textId="77777777" w:rsidR="0005312D" w:rsidRDefault="0005312D" w:rsidP="00CC1286"/>
    <w:p w14:paraId="659AC4ED" w14:textId="77777777" w:rsidR="0005312D" w:rsidRDefault="0005312D" w:rsidP="00CC1286"/>
    <w:p w14:paraId="659AC4EE" w14:textId="77777777" w:rsidR="0005312D" w:rsidRDefault="0005312D" w:rsidP="00CC1286"/>
    <w:p w14:paraId="659AC4EF" w14:textId="77777777" w:rsidR="00E33871" w:rsidRDefault="00E33871" w:rsidP="00CC1286"/>
    <w:p w14:paraId="659AC4F0" w14:textId="77777777" w:rsidR="00E33871" w:rsidRDefault="00E33871" w:rsidP="00CC12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103"/>
        <w:gridCol w:w="2410"/>
      </w:tblGrid>
      <w:tr w:rsidR="0005312D" w14:paraId="659AC4F3" w14:textId="77777777" w:rsidTr="00166DB8">
        <w:tc>
          <w:tcPr>
            <w:tcW w:w="9918" w:type="dxa"/>
            <w:gridSpan w:val="3"/>
            <w:shd w:val="clear" w:color="auto" w:fill="F2F2F2" w:themeFill="background1" w:themeFillShade="F2"/>
          </w:tcPr>
          <w:p w14:paraId="659AC4F1" w14:textId="77777777" w:rsidR="0005312D" w:rsidRPr="0005312D" w:rsidRDefault="0005312D" w:rsidP="00166DB8">
            <w:pPr>
              <w:rPr>
                <w:b/>
                <w:sz w:val="28"/>
                <w:szCs w:val="28"/>
              </w:rPr>
            </w:pPr>
            <w:r w:rsidRPr="0005312D">
              <w:rPr>
                <w:b/>
                <w:sz w:val="28"/>
                <w:szCs w:val="28"/>
              </w:rPr>
              <w:lastRenderedPageBreak/>
              <w:t xml:space="preserve">Processes: Death by </w:t>
            </w:r>
            <w:r>
              <w:rPr>
                <w:b/>
                <w:sz w:val="28"/>
                <w:szCs w:val="28"/>
              </w:rPr>
              <w:t xml:space="preserve">unnatural </w:t>
            </w:r>
            <w:r w:rsidRPr="0005312D">
              <w:rPr>
                <w:b/>
                <w:sz w:val="28"/>
                <w:szCs w:val="28"/>
              </w:rPr>
              <w:t>causes</w:t>
            </w:r>
          </w:p>
          <w:p w14:paraId="659AC4F2" w14:textId="77777777" w:rsidR="0005312D" w:rsidRDefault="0005312D" w:rsidP="00166DB8"/>
        </w:tc>
      </w:tr>
      <w:tr w:rsidR="0005312D" w:rsidRPr="00454638" w14:paraId="659AC4FB" w14:textId="77777777" w:rsidTr="009A7E10">
        <w:tc>
          <w:tcPr>
            <w:tcW w:w="2405" w:type="dxa"/>
            <w:shd w:val="clear" w:color="auto" w:fill="F2F2F2" w:themeFill="background1" w:themeFillShade="F2"/>
          </w:tcPr>
          <w:p w14:paraId="659AC4F4" w14:textId="77777777" w:rsidR="00705D28" w:rsidRDefault="00705D28" w:rsidP="002E7271">
            <w:pPr>
              <w:rPr>
                <w:b/>
              </w:rPr>
            </w:pPr>
            <w:r>
              <w:rPr>
                <w:b/>
              </w:rPr>
              <w:t>Unnatural causes</w:t>
            </w:r>
          </w:p>
          <w:p w14:paraId="659AC4F5" w14:textId="77777777" w:rsidR="0005312D" w:rsidRPr="00454638" w:rsidRDefault="0005312D" w:rsidP="00705D28">
            <w:pPr>
              <w:rPr>
                <w:b/>
              </w:rPr>
            </w:pPr>
          </w:p>
        </w:tc>
        <w:tc>
          <w:tcPr>
            <w:tcW w:w="7513" w:type="dxa"/>
            <w:gridSpan w:val="2"/>
            <w:shd w:val="clear" w:color="auto" w:fill="F2F2F2" w:themeFill="background1" w:themeFillShade="F2"/>
          </w:tcPr>
          <w:p w14:paraId="659AC4F6" w14:textId="77777777" w:rsidR="00705D28" w:rsidRDefault="00705D28" w:rsidP="00705D28">
            <w:r>
              <w:t xml:space="preserve">Tangata whai ora/tangata whaikaha:  </w:t>
            </w:r>
          </w:p>
          <w:p w14:paraId="659AC4F7" w14:textId="77777777" w:rsidR="00705D28" w:rsidRDefault="00705D28" w:rsidP="00D2324C">
            <w:pPr>
              <w:pStyle w:val="ListParagraph"/>
              <w:numPr>
                <w:ilvl w:val="0"/>
                <w:numId w:val="11"/>
              </w:numPr>
            </w:pPr>
            <w:r>
              <w:t>Died unexpectedly.</w:t>
            </w:r>
          </w:p>
          <w:p w14:paraId="659AC4F8" w14:textId="77777777" w:rsidR="00705D28" w:rsidRDefault="00705D28" w:rsidP="00D2324C">
            <w:pPr>
              <w:numPr>
                <w:ilvl w:val="0"/>
                <w:numId w:val="11"/>
              </w:numPr>
              <w:spacing w:after="100" w:afterAutospacing="1"/>
            </w:pPr>
            <w:r>
              <w:t>Died from an accident or injury</w:t>
            </w:r>
            <w:r w:rsidR="003E3D29">
              <w:t xml:space="preserve"> (including </w:t>
            </w:r>
            <w:r w:rsidR="00395BB6">
              <w:t xml:space="preserve">fall, </w:t>
            </w:r>
            <w:r w:rsidR="003E3D29">
              <w:t>poisoning</w:t>
            </w:r>
            <w:r w:rsidR="000652DD">
              <w:t xml:space="preserve"> or drowning</w:t>
            </w:r>
            <w:r w:rsidR="003E3D29">
              <w:t>)</w:t>
            </w:r>
            <w:r>
              <w:t>.</w:t>
            </w:r>
          </w:p>
          <w:p w14:paraId="659AC4F9" w14:textId="77777777" w:rsidR="00705D28" w:rsidRDefault="00705D28" w:rsidP="00D2324C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 xml:space="preserve">Died in a violent </w:t>
            </w:r>
            <w:r w:rsidR="00DD2B62">
              <w:t xml:space="preserve">(including homicide) </w:t>
            </w:r>
            <w:r>
              <w:t>or unnatural way (including suicide).</w:t>
            </w:r>
          </w:p>
          <w:p w14:paraId="659AC4FA" w14:textId="77777777" w:rsidR="00D2324C" w:rsidRPr="00D2324C" w:rsidRDefault="00D2324C" w:rsidP="00D2324C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>D</w:t>
            </w:r>
            <w:r w:rsidRPr="00DB66B9">
              <w:t>ie</w:t>
            </w:r>
            <w:r>
              <w:t>d</w:t>
            </w:r>
            <w:r w:rsidRPr="00DB66B9">
              <w:t xml:space="preserve"> during or following a medical procedure</w:t>
            </w:r>
            <w:r>
              <w:t>.</w:t>
            </w:r>
            <w:r w:rsidRPr="00DB66B9">
              <w:t xml:space="preserve"> </w:t>
            </w:r>
          </w:p>
        </w:tc>
      </w:tr>
      <w:tr w:rsidR="00B81D75" w:rsidRPr="00454638" w14:paraId="659AC4FE" w14:textId="77777777" w:rsidTr="009A7E10">
        <w:tc>
          <w:tcPr>
            <w:tcW w:w="2405" w:type="dxa"/>
            <w:shd w:val="clear" w:color="auto" w:fill="F2F2F2" w:themeFill="background1" w:themeFillShade="F2"/>
          </w:tcPr>
          <w:p w14:paraId="659AC4FC" w14:textId="77777777" w:rsidR="00B81D75" w:rsidRDefault="00B81D75" w:rsidP="002E7271">
            <w:pPr>
              <w:rPr>
                <w:b/>
              </w:rPr>
            </w:pPr>
            <w:r>
              <w:rPr>
                <w:b/>
              </w:rPr>
              <w:t>Reporting</w:t>
            </w:r>
          </w:p>
        </w:tc>
        <w:tc>
          <w:tcPr>
            <w:tcW w:w="7513" w:type="dxa"/>
            <w:gridSpan w:val="2"/>
            <w:shd w:val="clear" w:color="auto" w:fill="F2F2F2" w:themeFill="background1" w:themeFillShade="F2"/>
          </w:tcPr>
          <w:p w14:paraId="659AC4FD" w14:textId="77777777" w:rsidR="00B81D75" w:rsidRDefault="00B81D75" w:rsidP="00705D28">
            <w:r>
              <w:t>Death by unnatural causes are referred to the coroner.</w:t>
            </w:r>
          </w:p>
        </w:tc>
      </w:tr>
      <w:tr w:rsidR="0017278C" w:rsidRPr="00454638" w14:paraId="659AC501" w14:textId="77777777" w:rsidTr="009A7E10">
        <w:tc>
          <w:tcPr>
            <w:tcW w:w="2405" w:type="dxa"/>
            <w:shd w:val="clear" w:color="auto" w:fill="F2F2F2" w:themeFill="background1" w:themeFillShade="F2"/>
          </w:tcPr>
          <w:p w14:paraId="659AC4FF" w14:textId="77777777" w:rsidR="0017278C" w:rsidRDefault="0017278C" w:rsidP="002E7271">
            <w:pPr>
              <w:rPr>
                <w:b/>
              </w:rPr>
            </w:pPr>
            <w:r>
              <w:rPr>
                <w:b/>
              </w:rPr>
              <w:t xml:space="preserve">Medical certificate </w:t>
            </w:r>
          </w:p>
        </w:tc>
        <w:tc>
          <w:tcPr>
            <w:tcW w:w="7513" w:type="dxa"/>
            <w:gridSpan w:val="2"/>
            <w:shd w:val="clear" w:color="auto" w:fill="F2F2F2" w:themeFill="background1" w:themeFillShade="F2"/>
          </w:tcPr>
          <w:p w14:paraId="659AC500" w14:textId="77777777" w:rsidR="0017278C" w:rsidRDefault="0017278C" w:rsidP="008C7962">
            <w:r w:rsidRPr="0017278C">
              <w:rPr>
                <w:bCs/>
              </w:rPr>
              <w:t xml:space="preserve">A </w:t>
            </w:r>
            <w:r w:rsidR="008C7962">
              <w:rPr>
                <w:bCs/>
              </w:rPr>
              <w:t>m</w:t>
            </w:r>
            <w:r w:rsidRPr="0017278C">
              <w:rPr>
                <w:bCs/>
              </w:rPr>
              <w:t xml:space="preserve">edical </w:t>
            </w:r>
            <w:r w:rsidR="008C7962">
              <w:rPr>
                <w:bCs/>
              </w:rPr>
              <w:t>c</w:t>
            </w:r>
            <w:r w:rsidRPr="0017278C">
              <w:rPr>
                <w:bCs/>
              </w:rPr>
              <w:t xml:space="preserve">ertificate of </w:t>
            </w:r>
            <w:r w:rsidR="008C7962">
              <w:rPr>
                <w:bCs/>
              </w:rPr>
              <w:t>c</w:t>
            </w:r>
            <w:r w:rsidRPr="0017278C">
              <w:rPr>
                <w:bCs/>
              </w:rPr>
              <w:t xml:space="preserve">auses of </w:t>
            </w:r>
            <w:r w:rsidR="008C7962">
              <w:rPr>
                <w:bCs/>
              </w:rPr>
              <w:t>d</w:t>
            </w:r>
            <w:r w:rsidRPr="0017278C">
              <w:rPr>
                <w:bCs/>
              </w:rPr>
              <w:t>eath cannot be issued by a medical practitioner unless the coroner directs them to do so.</w:t>
            </w:r>
          </w:p>
        </w:tc>
      </w:tr>
      <w:tr w:rsidR="0005312D" w:rsidRPr="00454638" w14:paraId="659AC506" w14:textId="77777777" w:rsidTr="009A7E10">
        <w:tc>
          <w:tcPr>
            <w:tcW w:w="2405" w:type="dxa"/>
            <w:shd w:val="clear" w:color="auto" w:fill="F2F2F2" w:themeFill="background1" w:themeFillShade="F2"/>
          </w:tcPr>
          <w:p w14:paraId="659AC502" w14:textId="77777777" w:rsidR="0005312D" w:rsidRPr="00454638" w:rsidRDefault="0005312D" w:rsidP="00166DB8">
            <w:pPr>
              <w:rPr>
                <w:b/>
              </w:rPr>
            </w:pPr>
            <w:r w:rsidRPr="00454638">
              <w:rPr>
                <w:b/>
              </w:rPr>
              <w:t>Responsibility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659AC503" w14:textId="77777777" w:rsidR="0005312D" w:rsidRPr="00454638" w:rsidRDefault="0005312D" w:rsidP="00166DB8">
            <w:pPr>
              <w:rPr>
                <w:b/>
              </w:rPr>
            </w:pPr>
            <w:r w:rsidRPr="00454638">
              <w:rPr>
                <w:b/>
              </w:rPr>
              <w:t>Action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59AC504" w14:textId="77777777" w:rsidR="0005312D" w:rsidRDefault="0005312D" w:rsidP="00166DB8">
            <w:pPr>
              <w:rPr>
                <w:b/>
              </w:rPr>
            </w:pPr>
            <w:r w:rsidRPr="00454638">
              <w:rPr>
                <w:b/>
              </w:rPr>
              <w:t>Timeframe</w:t>
            </w:r>
          </w:p>
          <w:p w14:paraId="659AC505" w14:textId="77777777" w:rsidR="0005312D" w:rsidRPr="00454638" w:rsidRDefault="0005312D" w:rsidP="00166DB8">
            <w:pPr>
              <w:rPr>
                <w:b/>
              </w:rPr>
            </w:pPr>
          </w:p>
        </w:tc>
      </w:tr>
      <w:tr w:rsidR="0005312D" w:rsidRPr="00454638" w14:paraId="659AC50F" w14:textId="77777777" w:rsidTr="009A7E10">
        <w:tc>
          <w:tcPr>
            <w:tcW w:w="2405" w:type="dxa"/>
            <w:shd w:val="clear" w:color="auto" w:fill="F2F2F2" w:themeFill="background1" w:themeFillShade="F2"/>
          </w:tcPr>
          <w:p w14:paraId="659AC507" w14:textId="77777777" w:rsidR="0005312D" w:rsidRPr="00454638" w:rsidRDefault="00B34944" w:rsidP="00705D28">
            <w:pPr>
              <w:rPr>
                <w:b/>
              </w:rPr>
            </w:pPr>
            <w:r>
              <w:rPr>
                <w:b/>
              </w:rPr>
              <w:t xml:space="preserve">Health care worker finds tangata whai ora/tangata whaikaha dead at our premises or during a home visit. </w:t>
            </w:r>
          </w:p>
        </w:tc>
        <w:tc>
          <w:tcPr>
            <w:tcW w:w="5103" w:type="dxa"/>
            <w:shd w:val="clear" w:color="auto" w:fill="auto"/>
          </w:tcPr>
          <w:p w14:paraId="659AC508" w14:textId="77777777" w:rsidR="00B81D75" w:rsidRDefault="00B81D75" w:rsidP="001F2CA4">
            <w:pPr>
              <w:pStyle w:val="ListParagraph"/>
              <w:numPr>
                <w:ilvl w:val="0"/>
                <w:numId w:val="13"/>
              </w:numPr>
              <w:rPr>
                <w:rStyle w:val="hgkelc"/>
                <w:bCs/>
                <w:lang w:val="en"/>
              </w:rPr>
            </w:pPr>
            <w:r w:rsidRPr="001F2CA4">
              <w:rPr>
                <w:rStyle w:val="hgkelc"/>
                <w:bCs/>
                <w:lang w:val="en"/>
              </w:rPr>
              <w:t xml:space="preserve">Call 111 and request the attendance of the police who </w:t>
            </w:r>
            <w:r w:rsidR="00865167">
              <w:rPr>
                <w:rStyle w:val="hgkelc"/>
                <w:bCs/>
                <w:lang w:val="en"/>
              </w:rPr>
              <w:t xml:space="preserve">will </w:t>
            </w:r>
            <w:r w:rsidRPr="001F2CA4">
              <w:rPr>
                <w:rStyle w:val="hgkelc"/>
                <w:bCs/>
                <w:lang w:val="en"/>
              </w:rPr>
              <w:t>act as the coroner’s agent.</w:t>
            </w:r>
          </w:p>
          <w:p w14:paraId="659AC509" w14:textId="77777777" w:rsidR="001F2CA4" w:rsidRDefault="001F2CA4" w:rsidP="001F2CA4">
            <w:pPr>
              <w:pStyle w:val="ListParagraph"/>
              <w:numPr>
                <w:ilvl w:val="0"/>
                <w:numId w:val="13"/>
              </w:numPr>
              <w:rPr>
                <w:rStyle w:val="hgkelc"/>
                <w:bCs/>
                <w:lang w:val="en"/>
              </w:rPr>
            </w:pPr>
            <w:r>
              <w:rPr>
                <w:rStyle w:val="hgkelc"/>
                <w:bCs/>
                <w:lang w:val="en"/>
              </w:rPr>
              <w:t>Follow the police’s instructions.</w:t>
            </w:r>
          </w:p>
          <w:p w14:paraId="659AC50A" w14:textId="77777777" w:rsidR="001F2CA4" w:rsidRDefault="001F2CA4" w:rsidP="001F2CA4">
            <w:pPr>
              <w:pStyle w:val="ListParagraph"/>
              <w:numPr>
                <w:ilvl w:val="0"/>
                <w:numId w:val="13"/>
              </w:numPr>
              <w:rPr>
                <w:rStyle w:val="hgkelc"/>
                <w:bCs/>
                <w:lang w:val="en"/>
              </w:rPr>
            </w:pPr>
            <w:r>
              <w:rPr>
                <w:rStyle w:val="hgkelc"/>
                <w:bCs/>
                <w:lang w:val="en"/>
              </w:rPr>
              <w:t>Call the manager/team leader and request their attendance at the premises.</w:t>
            </w:r>
          </w:p>
          <w:p w14:paraId="659AC50B" w14:textId="77777777" w:rsidR="001F2CA4" w:rsidRPr="005B0F19" w:rsidRDefault="001F2CA4" w:rsidP="001F2CA4">
            <w:pPr>
              <w:pStyle w:val="ListParagraph"/>
              <w:numPr>
                <w:ilvl w:val="0"/>
                <w:numId w:val="13"/>
              </w:numPr>
              <w:rPr>
                <w:rStyle w:val="hgkelc"/>
                <w:bCs/>
                <w:lang w:val="en"/>
              </w:rPr>
            </w:pPr>
            <w:r>
              <w:rPr>
                <w:rStyle w:val="hgkelc"/>
                <w:bCs/>
                <w:lang w:val="en"/>
              </w:rPr>
              <w:t>Do not remove or change anything</w:t>
            </w:r>
            <w:r w:rsidR="005B0F19">
              <w:rPr>
                <w:rStyle w:val="hgkelc"/>
                <w:bCs/>
                <w:lang w:val="en"/>
              </w:rPr>
              <w:t xml:space="preserve"> from </w:t>
            </w:r>
            <w:r w:rsidR="00E47112">
              <w:t>the body of the deceased</w:t>
            </w:r>
            <w:r w:rsidR="00790BD5">
              <w:t>/ tūpāpaku</w:t>
            </w:r>
            <w:r w:rsidR="00E47112">
              <w:rPr>
                <w:rStyle w:val="hgkelc"/>
                <w:bCs/>
                <w:lang w:val="en"/>
              </w:rPr>
              <w:t xml:space="preserve"> </w:t>
            </w:r>
            <w:r w:rsidR="005B0F19">
              <w:rPr>
                <w:rStyle w:val="hgkelc"/>
                <w:bCs/>
                <w:lang w:val="en"/>
              </w:rPr>
              <w:t>or the environment</w:t>
            </w:r>
            <w:r w:rsidR="0070257C">
              <w:rPr>
                <w:rStyle w:val="hgkelc"/>
                <w:bCs/>
                <w:lang w:val="en"/>
              </w:rPr>
              <w:t xml:space="preserve"> they were found</w:t>
            </w:r>
            <w:r w:rsidR="00790BD5">
              <w:rPr>
                <w:rStyle w:val="hgkelc"/>
                <w:bCs/>
                <w:lang w:val="en"/>
              </w:rPr>
              <w:t xml:space="preserve"> at</w:t>
            </w:r>
            <w:r w:rsidRPr="005B0F19">
              <w:rPr>
                <w:rStyle w:val="hgkelc"/>
                <w:bCs/>
                <w:lang w:val="en"/>
              </w:rPr>
              <w:t xml:space="preserve">. </w:t>
            </w:r>
          </w:p>
          <w:p w14:paraId="659AC50C" w14:textId="77777777" w:rsidR="0005312D" w:rsidRPr="001F2CA4" w:rsidRDefault="001F2CA4" w:rsidP="001F2CA4">
            <w:pPr>
              <w:pStyle w:val="ListParagraph"/>
              <w:numPr>
                <w:ilvl w:val="0"/>
                <w:numId w:val="13"/>
              </w:numPr>
              <w:rPr>
                <w:rStyle w:val="hgkelc"/>
              </w:rPr>
            </w:pPr>
            <w:r>
              <w:rPr>
                <w:rStyle w:val="hgkelc"/>
                <w:bCs/>
                <w:lang w:val="en"/>
              </w:rPr>
              <w:t xml:space="preserve">Keep any other person away from the area. </w:t>
            </w:r>
          </w:p>
          <w:p w14:paraId="659AC50D" w14:textId="77777777" w:rsidR="001F2CA4" w:rsidRPr="00B34944" w:rsidRDefault="001F2CA4" w:rsidP="001F2CA4">
            <w:pPr>
              <w:pStyle w:val="ListParagraph"/>
              <w:numPr>
                <w:ilvl w:val="0"/>
                <w:numId w:val="13"/>
              </w:numPr>
            </w:pPr>
            <w:r>
              <w:rPr>
                <w:rStyle w:val="hgkelc"/>
                <w:bCs/>
                <w:lang w:val="en"/>
              </w:rPr>
              <w:t>Wait for the police to arrive.</w:t>
            </w:r>
          </w:p>
        </w:tc>
        <w:tc>
          <w:tcPr>
            <w:tcW w:w="2410" w:type="dxa"/>
            <w:shd w:val="clear" w:color="auto" w:fill="auto"/>
          </w:tcPr>
          <w:p w14:paraId="659AC50E" w14:textId="77777777" w:rsidR="0005312D" w:rsidRPr="00B81D75" w:rsidRDefault="00B81D75" w:rsidP="00166DB8">
            <w:r w:rsidRPr="00B81D75">
              <w:t>Immediately</w:t>
            </w:r>
            <w:r w:rsidR="003E178F">
              <w:t>.</w:t>
            </w:r>
          </w:p>
        </w:tc>
      </w:tr>
      <w:tr w:rsidR="001F2CA4" w:rsidRPr="00454638" w14:paraId="659AC517" w14:textId="77777777" w:rsidTr="009A7E10">
        <w:tc>
          <w:tcPr>
            <w:tcW w:w="2405" w:type="dxa"/>
            <w:shd w:val="clear" w:color="auto" w:fill="F2F2F2" w:themeFill="background1" w:themeFillShade="F2"/>
          </w:tcPr>
          <w:p w14:paraId="659AC510" w14:textId="77777777" w:rsidR="001F2CA4" w:rsidRDefault="001F2CA4" w:rsidP="00705D28">
            <w:pPr>
              <w:rPr>
                <w:b/>
              </w:rPr>
            </w:pPr>
            <w:r>
              <w:rPr>
                <w:b/>
              </w:rPr>
              <w:t>Manager/team leader</w:t>
            </w:r>
          </w:p>
        </w:tc>
        <w:tc>
          <w:tcPr>
            <w:tcW w:w="5103" w:type="dxa"/>
            <w:shd w:val="clear" w:color="auto" w:fill="auto"/>
          </w:tcPr>
          <w:p w14:paraId="659AC511" w14:textId="77777777" w:rsidR="001F2CA4" w:rsidRPr="00FB35E2" w:rsidRDefault="001F2CA4" w:rsidP="001F2CA4">
            <w:pPr>
              <w:pStyle w:val="ListParagraph"/>
              <w:numPr>
                <w:ilvl w:val="0"/>
                <w:numId w:val="13"/>
              </w:numPr>
              <w:rPr>
                <w:bCs/>
                <w:lang w:val="en"/>
              </w:rPr>
            </w:pPr>
            <w:r>
              <w:rPr>
                <w:rStyle w:val="hgkelc"/>
                <w:bCs/>
                <w:lang w:val="en"/>
              </w:rPr>
              <w:t>If the police is in agreement, notifies</w:t>
            </w:r>
            <w:r w:rsidR="001E0961">
              <w:rPr>
                <w:rStyle w:val="hgkelc"/>
                <w:bCs/>
                <w:lang w:val="en"/>
              </w:rPr>
              <w:t xml:space="preserve"> the deceased</w:t>
            </w:r>
            <w:r w:rsidR="00314595">
              <w:rPr>
                <w:rStyle w:val="hgkelc"/>
                <w:bCs/>
                <w:lang w:val="en"/>
              </w:rPr>
              <w:t>’s/</w:t>
            </w:r>
            <w:r w:rsidR="00314595">
              <w:t>tūpāpaku</w:t>
            </w:r>
            <w:r w:rsidR="001E0961">
              <w:rPr>
                <w:rStyle w:val="hgkelc"/>
                <w:bCs/>
                <w:lang w:val="en"/>
              </w:rPr>
              <w:t xml:space="preserve"> </w:t>
            </w:r>
            <w:r w:rsidR="00FB35E2">
              <w:t>wh</w:t>
            </w:r>
            <w:r w:rsidR="00FB35E2">
              <w:rPr>
                <w:rFonts w:cs="Calibri"/>
              </w:rPr>
              <w:t>ā</w:t>
            </w:r>
            <w:r w:rsidR="00FB35E2">
              <w:t>nau.</w:t>
            </w:r>
          </w:p>
          <w:p w14:paraId="659AC512" w14:textId="77777777" w:rsidR="003E178F" w:rsidRPr="003E178F" w:rsidRDefault="00FB35E2" w:rsidP="001F2CA4">
            <w:pPr>
              <w:pStyle w:val="ListParagraph"/>
              <w:numPr>
                <w:ilvl w:val="0"/>
                <w:numId w:val="13"/>
              </w:numPr>
              <w:rPr>
                <w:bCs/>
                <w:lang w:val="en"/>
              </w:rPr>
            </w:pPr>
            <w:r>
              <w:t>If wh</w:t>
            </w:r>
            <w:r>
              <w:rPr>
                <w:rFonts w:cs="Calibri"/>
              </w:rPr>
              <w:t>ā</w:t>
            </w:r>
            <w:r>
              <w:t>nau is not known or cannot be contacted</w:t>
            </w:r>
            <w:r w:rsidR="003E178F">
              <w:t>:</w:t>
            </w:r>
          </w:p>
          <w:p w14:paraId="659AC513" w14:textId="77777777" w:rsidR="00FB35E2" w:rsidRPr="003E178F" w:rsidRDefault="003E178F" w:rsidP="003E178F">
            <w:pPr>
              <w:pStyle w:val="ListParagraph"/>
              <w:numPr>
                <w:ilvl w:val="1"/>
                <w:numId w:val="13"/>
              </w:numPr>
              <w:rPr>
                <w:bCs/>
                <w:lang w:val="en"/>
              </w:rPr>
            </w:pPr>
            <w:r>
              <w:t>F</w:t>
            </w:r>
            <w:r w:rsidR="00FB35E2">
              <w:t>ollows the instructions of the police.</w:t>
            </w:r>
          </w:p>
          <w:p w14:paraId="659AC514" w14:textId="77777777" w:rsidR="003E178F" w:rsidRPr="00FB35E2" w:rsidRDefault="003E178F" w:rsidP="003E178F">
            <w:pPr>
              <w:pStyle w:val="ListParagraph"/>
              <w:numPr>
                <w:ilvl w:val="1"/>
                <w:numId w:val="13"/>
              </w:numPr>
              <w:rPr>
                <w:bCs/>
                <w:lang w:val="en"/>
              </w:rPr>
            </w:pPr>
            <w:r>
              <w:t>Contacts a funeral director.</w:t>
            </w:r>
          </w:p>
          <w:p w14:paraId="659AC515" w14:textId="77777777" w:rsidR="00FB35E2" w:rsidRPr="001F2CA4" w:rsidRDefault="00FB35E2" w:rsidP="001F2CA4">
            <w:pPr>
              <w:pStyle w:val="ListParagraph"/>
              <w:numPr>
                <w:ilvl w:val="0"/>
                <w:numId w:val="13"/>
              </w:numPr>
              <w:rPr>
                <w:rStyle w:val="hgkelc"/>
                <w:bCs/>
                <w:lang w:val="en"/>
              </w:rPr>
            </w:pPr>
            <w:r>
              <w:t>Commences the adverse event process.</w:t>
            </w:r>
          </w:p>
        </w:tc>
        <w:tc>
          <w:tcPr>
            <w:tcW w:w="2410" w:type="dxa"/>
            <w:shd w:val="clear" w:color="auto" w:fill="auto"/>
          </w:tcPr>
          <w:p w14:paraId="659AC516" w14:textId="77777777" w:rsidR="001F2CA4" w:rsidRPr="00B81D75" w:rsidRDefault="003E178F" w:rsidP="003E178F">
            <w:r>
              <w:t>No later than w</w:t>
            </w:r>
            <w:r w:rsidR="00FC02E1">
              <w:t>ithin 24 hours or as instructed by the police</w:t>
            </w:r>
            <w:r>
              <w:t>.</w:t>
            </w:r>
          </w:p>
        </w:tc>
      </w:tr>
      <w:tr w:rsidR="00FC02E1" w:rsidRPr="00454638" w14:paraId="659AC51F" w14:textId="77777777" w:rsidTr="009A7E10">
        <w:tc>
          <w:tcPr>
            <w:tcW w:w="2405" w:type="dxa"/>
            <w:shd w:val="clear" w:color="auto" w:fill="F2F2F2" w:themeFill="background1" w:themeFillShade="F2"/>
          </w:tcPr>
          <w:p w14:paraId="659AC518" w14:textId="77777777" w:rsidR="00FC02E1" w:rsidRDefault="00FC02E1" w:rsidP="00705D28">
            <w:pPr>
              <w:rPr>
                <w:b/>
              </w:rPr>
            </w:pPr>
            <w:r>
              <w:rPr>
                <w:b/>
              </w:rPr>
              <w:t>Our team</w:t>
            </w:r>
          </w:p>
        </w:tc>
        <w:tc>
          <w:tcPr>
            <w:tcW w:w="5103" w:type="dxa"/>
            <w:shd w:val="clear" w:color="auto" w:fill="auto"/>
          </w:tcPr>
          <w:p w14:paraId="659AC519" w14:textId="77777777" w:rsidR="00FC02E1" w:rsidRDefault="00FC02E1" w:rsidP="00FC02E1">
            <w:pPr>
              <w:rPr>
                <w:b/>
              </w:rPr>
            </w:pPr>
            <w:r w:rsidRPr="00454638">
              <w:rPr>
                <w:b/>
              </w:rPr>
              <w:t>Supports:</w:t>
            </w:r>
          </w:p>
          <w:p w14:paraId="659AC51A" w14:textId="77777777" w:rsidR="00FC02E1" w:rsidRDefault="001E0961" w:rsidP="00FC02E1">
            <w:pPr>
              <w:pStyle w:val="ListParagraph"/>
              <w:numPr>
                <w:ilvl w:val="0"/>
                <w:numId w:val="13"/>
              </w:numPr>
            </w:pPr>
            <w:r>
              <w:t>The deceased</w:t>
            </w:r>
            <w:r w:rsidR="00314595">
              <w:t>’s/tūpāpaku</w:t>
            </w:r>
            <w:r>
              <w:t xml:space="preserve"> </w:t>
            </w:r>
            <w:r w:rsidR="00FC02E1">
              <w:t>wh</w:t>
            </w:r>
            <w:r w:rsidR="00FC02E1" w:rsidRPr="00454638">
              <w:rPr>
                <w:rFonts w:cs="Calibri"/>
              </w:rPr>
              <w:t>ā</w:t>
            </w:r>
            <w:r w:rsidR="00FC02E1">
              <w:t>nau and friends.</w:t>
            </w:r>
          </w:p>
          <w:p w14:paraId="659AC51B" w14:textId="77777777" w:rsidR="00FC02E1" w:rsidRDefault="00FC02E1" w:rsidP="00FC02E1">
            <w:pPr>
              <w:pStyle w:val="ListParagraph"/>
              <w:numPr>
                <w:ilvl w:val="0"/>
                <w:numId w:val="13"/>
              </w:numPr>
            </w:pPr>
            <w:r>
              <w:t>Tikanga M</w:t>
            </w:r>
            <w:r w:rsidRPr="006862FC">
              <w:rPr>
                <w:rFonts w:cs="Calibri"/>
              </w:rPr>
              <w:t>ā</w:t>
            </w:r>
            <w:r>
              <w:t>ori processes</w:t>
            </w:r>
            <w:r w:rsidR="00CE152D">
              <w:t>.</w:t>
            </w:r>
          </w:p>
          <w:p w14:paraId="659AC51C" w14:textId="77777777" w:rsidR="00FC02E1" w:rsidRDefault="00000000" w:rsidP="00FC02E1">
            <w:pPr>
              <w:pStyle w:val="ListParagraph"/>
              <w:numPr>
                <w:ilvl w:val="0"/>
                <w:numId w:val="13"/>
              </w:numPr>
            </w:pPr>
            <w:hyperlink r:id="rId21" w:history="1">
              <w:r w:rsidR="00FC02E1" w:rsidRPr="006862FC">
                <w:rPr>
                  <w:rStyle w:val="Hyperlink"/>
                </w:rPr>
                <w:t>Cultural relevant processes</w:t>
              </w:r>
            </w:hyperlink>
            <w:r w:rsidR="00FC02E1">
              <w:rPr>
                <w:rStyle w:val="Hyperlink"/>
              </w:rPr>
              <w:t>.</w:t>
            </w:r>
          </w:p>
          <w:p w14:paraId="659AC51D" w14:textId="77777777" w:rsidR="00FC02E1" w:rsidRDefault="00314595" w:rsidP="00314595">
            <w:pPr>
              <w:pStyle w:val="ListParagraph"/>
              <w:numPr>
                <w:ilvl w:val="0"/>
                <w:numId w:val="13"/>
              </w:numPr>
              <w:rPr>
                <w:rStyle w:val="hgkelc"/>
                <w:bCs/>
                <w:lang w:val="en"/>
              </w:rPr>
            </w:pPr>
            <w:r>
              <w:t>Staff and p</w:t>
            </w:r>
            <w:r w:rsidR="00FC02E1">
              <w:t xml:space="preserve">eople </w:t>
            </w:r>
            <w:r w:rsidR="001E0961">
              <w:t>the deceased</w:t>
            </w:r>
            <w:r>
              <w:t>/ tūpāpaku</w:t>
            </w:r>
            <w:r w:rsidR="00FC02E1">
              <w:t xml:space="preserve"> shared accommodation and activities with</w:t>
            </w:r>
            <w:r w:rsidR="00FC02E1" w:rsidRPr="00722257">
              <w:t>.</w:t>
            </w:r>
          </w:p>
        </w:tc>
        <w:tc>
          <w:tcPr>
            <w:tcW w:w="2410" w:type="dxa"/>
            <w:shd w:val="clear" w:color="auto" w:fill="auto"/>
          </w:tcPr>
          <w:p w14:paraId="659AC51E" w14:textId="77777777" w:rsidR="00FC02E1" w:rsidRDefault="006238CB" w:rsidP="006238CB">
            <w:r>
              <w:t xml:space="preserve">From the day </w:t>
            </w:r>
            <w:r w:rsidRPr="00FB35E2">
              <w:t>tangata whai ora/tangata whaikaha</w:t>
            </w:r>
            <w:r>
              <w:t xml:space="preserve"> was found dead</w:t>
            </w:r>
            <w:r w:rsidR="003E178F">
              <w:t>.</w:t>
            </w:r>
          </w:p>
        </w:tc>
      </w:tr>
      <w:tr w:rsidR="0083605C" w:rsidRPr="00454638" w14:paraId="659AC524" w14:textId="77777777" w:rsidTr="009A7E10"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659AC520" w14:textId="77777777" w:rsidR="0083605C" w:rsidRDefault="0083605C" w:rsidP="00EB1894">
            <w:pPr>
              <w:rPr>
                <w:b/>
              </w:rPr>
            </w:pPr>
            <w:r>
              <w:rPr>
                <w:b/>
              </w:rPr>
              <w:t>Manager/team leader</w:t>
            </w:r>
          </w:p>
        </w:tc>
        <w:tc>
          <w:tcPr>
            <w:tcW w:w="5103" w:type="dxa"/>
            <w:shd w:val="clear" w:color="auto" w:fill="auto"/>
          </w:tcPr>
          <w:p w14:paraId="659AC521" w14:textId="77777777" w:rsidR="0083605C" w:rsidRDefault="0083605C" w:rsidP="00EB1894">
            <w:pPr>
              <w:rPr>
                <w:b/>
              </w:rPr>
            </w:pPr>
            <w:r>
              <w:rPr>
                <w:b/>
              </w:rPr>
              <w:t>Ensures:</w:t>
            </w:r>
          </w:p>
          <w:p w14:paraId="659AC522" w14:textId="77777777" w:rsidR="0083605C" w:rsidRPr="00B41195" w:rsidRDefault="0083605C" w:rsidP="00EF0C4C">
            <w:pPr>
              <w:rPr>
                <w:b/>
              </w:rPr>
            </w:pPr>
            <w:r w:rsidRPr="00172DE5">
              <w:t>De-brief for staff and people</w:t>
            </w:r>
            <w:r>
              <w:t xml:space="preserve"> </w:t>
            </w:r>
            <w:r w:rsidR="001E0961">
              <w:t>the deceased</w:t>
            </w:r>
            <w:r w:rsidR="00EF0C4C">
              <w:t>/tūpāpaku</w:t>
            </w:r>
            <w:r w:rsidR="001E0961">
              <w:t xml:space="preserve"> </w:t>
            </w:r>
            <w:r>
              <w:t>shared accommodation and activities with</w:t>
            </w:r>
            <w:r w:rsidRPr="00722257">
              <w:t>.</w:t>
            </w:r>
          </w:p>
        </w:tc>
        <w:tc>
          <w:tcPr>
            <w:tcW w:w="2410" w:type="dxa"/>
            <w:shd w:val="clear" w:color="auto" w:fill="auto"/>
          </w:tcPr>
          <w:p w14:paraId="659AC523" w14:textId="77777777" w:rsidR="0083605C" w:rsidRDefault="0083605C" w:rsidP="00EB1894">
            <w:r>
              <w:t>Within 48 hours.</w:t>
            </w:r>
          </w:p>
        </w:tc>
      </w:tr>
      <w:tr w:rsidR="0083605C" w:rsidRPr="00454638" w14:paraId="659AC533" w14:textId="77777777" w:rsidTr="009A7E10">
        <w:tc>
          <w:tcPr>
            <w:tcW w:w="2405" w:type="dxa"/>
            <w:vMerge/>
            <w:shd w:val="clear" w:color="auto" w:fill="F2F2F2" w:themeFill="background1" w:themeFillShade="F2"/>
          </w:tcPr>
          <w:p w14:paraId="659AC525" w14:textId="77777777" w:rsidR="0083605C" w:rsidRDefault="0083605C" w:rsidP="00EB1894">
            <w:pPr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659AC526" w14:textId="77777777" w:rsidR="0083605C" w:rsidRDefault="0083605C" w:rsidP="00EB1894">
            <w:pPr>
              <w:pStyle w:val="Bullet"/>
              <w:numPr>
                <w:ilvl w:val="0"/>
                <w:numId w:val="0"/>
              </w:numPr>
              <w:spacing w:before="0"/>
            </w:pPr>
            <w:r w:rsidRPr="00275125">
              <w:rPr>
                <w:b/>
              </w:rPr>
              <w:t xml:space="preserve">Informs </w:t>
            </w:r>
            <w:r>
              <w:t>the following people and agencies of the death:</w:t>
            </w:r>
          </w:p>
          <w:p w14:paraId="659AC527" w14:textId="77777777" w:rsidR="0083605C" w:rsidRDefault="0083605C" w:rsidP="00EB1894">
            <w:pPr>
              <w:pStyle w:val="Bullet"/>
              <w:spacing w:before="0" w:line="240" w:lineRule="auto"/>
            </w:pPr>
            <w:r>
              <w:t>Clinical services who have been involved in the care of</w:t>
            </w:r>
            <w:r w:rsidR="001E0961">
              <w:t xml:space="preserve"> the deceased</w:t>
            </w:r>
            <w:r w:rsidR="00EF0C4C">
              <w:t>/ tūpāpaku</w:t>
            </w:r>
            <w:r>
              <w:t>.</w:t>
            </w:r>
          </w:p>
          <w:p w14:paraId="659AC528" w14:textId="77777777" w:rsidR="0083605C" w:rsidRDefault="0083605C" w:rsidP="00EB1894">
            <w:pPr>
              <w:pStyle w:val="Bullet"/>
              <w:spacing w:before="0" w:line="240" w:lineRule="auto"/>
            </w:pPr>
            <w:r>
              <w:t xml:space="preserve">Agency that provided funding. </w:t>
            </w:r>
          </w:p>
          <w:p w14:paraId="659AC529" w14:textId="77777777" w:rsidR="0083605C" w:rsidRDefault="0083605C" w:rsidP="00EB1894">
            <w:pPr>
              <w:pStyle w:val="Bullet"/>
              <w:spacing w:before="0" w:line="240" w:lineRule="auto"/>
            </w:pPr>
            <w:r>
              <w:t>Referrer.</w:t>
            </w:r>
          </w:p>
          <w:p w14:paraId="659AC52A" w14:textId="77777777" w:rsidR="0083605C" w:rsidRDefault="0083605C" w:rsidP="00EB1894">
            <w:pPr>
              <w:pStyle w:val="Bullet"/>
              <w:spacing w:before="0" w:line="240" w:lineRule="auto"/>
            </w:pPr>
            <w:r>
              <w:t xml:space="preserve">Board of trustees/directors or owner. </w:t>
            </w:r>
          </w:p>
          <w:p w14:paraId="659AC52B" w14:textId="77777777" w:rsidR="0083605C" w:rsidRDefault="0083605C" w:rsidP="00EB1894">
            <w:pPr>
              <w:pStyle w:val="Bullet"/>
              <w:spacing w:before="0"/>
            </w:pPr>
            <w:r>
              <w:t xml:space="preserve">HealthCERT by completing </w:t>
            </w:r>
            <w:hyperlink r:id="rId22" w:history="1">
              <w:r w:rsidRPr="00BE17E4">
                <w:rPr>
                  <w:rStyle w:val="Hyperlink"/>
                </w:rPr>
                <w:t>Section 31 report</w:t>
              </w:r>
            </w:hyperlink>
            <w:r>
              <w:t>.</w:t>
            </w:r>
          </w:p>
          <w:p w14:paraId="659AC52C" w14:textId="77777777" w:rsidR="0083605C" w:rsidRPr="00B41195" w:rsidRDefault="0083605C" w:rsidP="00EB1894">
            <w:pPr>
              <w:pStyle w:val="Bullet"/>
              <w:spacing w:before="0"/>
            </w:pPr>
            <w:r>
              <w:t>Disability/</w:t>
            </w:r>
            <w:hyperlink r:id="rId23" w:history="1">
              <w:r w:rsidRPr="00CE1225">
                <w:rPr>
                  <w:rStyle w:val="Hyperlink"/>
                </w:rPr>
                <w:t>Whaikaha services reporting</w:t>
              </w:r>
            </w:hyperlink>
            <w:r>
              <w:t>.</w:t>
            </w:r>
            <w:r w:rsidR="00D168B9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59AC52D" w14:textId="77777777" w:rsidR="0083605C" w:rsidRDefault="0083605C" w:rsidP="00EB1894">
            <w:r>
              <w:t xml:space="preserve">No later than </w:t>
            </w:r>
            <w:r w:rsidR="00022DA0">
              <w:t>2</w:t>
            </w:r>
            <w:r>
              <w:t xml:space="preserve"> working days of the death</w:t>
            </w:r>
            <w:r w:rsidR="008158B6">
              <w:t xml:space="preserve"> – or as required by specific agencies</w:t>
            </w:r>
            <w:r>
              <w:t>.</w:t>
            </w:r>
          </w:p>
          <w:p w14:paraId="659AC52E" w14:textId="77777777" w:rsidR="008158B6" w:rsidRDefault="008158B6" w:rsidP="00EB1894"/>
          <w:p w14:paraId="659AC52F" w14:textId="77777777" w:rsidR="008158B6" w:rsidRDefault="008158B6" w:rsidP="00EB1894"/>
          <w:p w14:paraId="659AC530" w14:textId="77777777" w:rsidR="008158B6" w:rsidRDefault="008158B6" w:rsidP="00EB1894"/>
          <w:p w14:paraId="659AC531" w14:textId="77777777" w:rsidR="008158B6" w:rsidRDefault="008158B6" w:rsidP="00EB1894"/>
          <w:p w14:paraId="659AC532" w14:textId="77777777" w:rsidR="008158B6" w:rsidRDefault="008158B6" w:rsidP="00EB1894"/>
        </w:tc>
      </w:tr>
      <w:tr w:rsidR="0083605C" w:rsidRPr="00454638" w14:paraId="659AC538" w14:textId="77777777" w:rsidTr="009A7E10">
        <w:tc>
          <w:tcPr>
            <w:tcW w:w="2405" w:type="dxa"/>
            <w:vMerge/>
            <w:shd w:val="clear" w:color="auto" w:fill="F2F2F2" w:themeFill="background1" w:themeFillShade="F2"/>
          </w:tcPr>
          <w:p w14:paraId="659AC534" w14:textId="77777777" w:rsidR="0083605C" w:rsidRDefault="0083605C" w:rsidP="00EB1894">
            <w:pPr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659AC535" w14:textId="77777777" w:rsidR="0083605C" w:rsidRDefault="0083605C" w:rsidP="00EB1894">
            <w:pPr>
              <w:rPr>
                <w:b/>
              </w:rPr>
            </w:pPr>
            <w:r>
              <w:rPr>
                <w:b/>
              </w:rPr>
              <w:t>Provides:</w:t>
            </w:r>
          </w:p>
          <w:p w14:paraId="659AC536" w14:textId="77777777" w:rsidR="0083605C" w:rsidRPr="00EB1894" w:rsidRDefault="0083605C" w:rsidP="00EB1894">
            <w:r w:rsidRPr="00EB1894">
              <w:t>A report to the coroner if requested.</w:t>
            </w:r>
          </w:p>
        </w:tc>
        <w:tc>
          <w:tcPr>
            <w:tcW w:w="2410" w:type="dxa"/>
            <w:shd w:val="clear" w:color="auto" w:fill="auto"/>
          </w:tcPr>
          <w:p w14:paraId="659AC537" w14:textId="77777777" w:rsidR="0083605C" w:rsidRDefault="0083605C" w:rsidP="00EB1894">
            <w:r>
              <w:t>Coroner determines the time frame.</w:t>
            </w:r>
          </w:p>
        </w:tc>
      </w:tr>
      <w:tr w:rsidR="0083605C" w:rsidRPr="00454638" w14:paraId="659AC53D" w14:textId="77777777" w:rsidTr="009A7E10">
        <w:tc>
          <w:tcPr>
            <w:tcW w:w="2405" w:type="dxa"/>
            <w:vMerge/>
            <w:shd w:val="clear" w:color="auto" w:fill="F2F2F2" w:themeFill="background1" w:themeFillShade="F2"/>
          </w:tcPr>
          <w:p w14:paraId="659AC539" w14:textId="77777777" w:rsidR="0083605C" w:rsidRDefault="0083605C" w:rsidP="00EB1894">
            <w:pPr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659AC53A" w14:textId="77777777" w:rsidR="0083605C" w:rsidRDefault="0083605C" w:rsidP="00EB1894">
            <w:pPr>
              <w:rPr>
                <w:b/>
              </w:rPr>
            </w:pPr>
            <w:r>
              <w:rPr>
                <w:b/>
              </w:rPr>
              <w:t>Arranges:</w:t>
            </w:r>
          </w:p>
          <w:p w14:paraId="659AC53B" w14:textId="77777777" w:rsidR="0083605C" w:rsidRDefault="0083605C" w:rsidP="00EB1894">
            <w:pPr>
              <w:rPr>
                <w:b/>
              </w:rPr>
            </w:pPr>
            <w:r w:rsidRPr="0083605C">
              <w:t>Participation of staff in coroner’s inquest meetings</w:t>
            </w:r>
            <w:r>
              <w:rPr>
                <w:b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59AC53C" w14:textId="77777777" w:rsidR="0083605C" w:rsidRDefault="0083605C" w:rsidP="00EB1894">
            <w:r>
              <w:t>As required by the coroner.</w:t>
            </w:r>
          </w:p>
        </w:tc>
      </w:tr>
    </w:tbl>
    <w:p w14:paraId="659AC53E" w14:textId="77777777" w:rsidR="0005312D" w:rsidRDefault="0005312D" w:rsidP="00CC12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513"/>
      </w:tblGrid>
      <w:tr w:rsidR="00070002" w14:paraId="659AC541" w14:textId="77777777" w:rsidTr="00FA77BD">
        <w:tc>
          <w:tcPr>
            <w:tcW w:w="9918" w:type="dxa"/>
            <w:gridSpan w:val="2"/>
            <w:shd w:val="clear" w:color="auto" w:fill="F2F2F2" w:themeFill="background1" w:themeFillShade="F2"/>
          </w:tcPr>
          <w:p w14:paraId="659AC53F" w14:textId="77777777" w:rsidR="00070002" w:rsidRPr="0005312D" w:rsidRDefault="001240C5" w:rsidP="00FA77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</w:t>
            </w:r>
            <w:r w:rsidR="00453393">
              <w:rPr>
                <w:b/>
                <w:sz w:val="28"/>
                <w:szCs w:val="28"/>
              </w:rPr>
              <w:t xml:space="preserve">dditional support </w:t>
            </w:r>
            <w:r w:rsidR="00070002">
              <w:rPr>
                <w:b/>
                <w:sz w:val="28"/>
                <w:szCs w:val="28"/>
              </w:rPr>
              <w:t>processes</w:t>
            </w:r>
          </w:p>
          <w:p w14:paraId="659AC540" w14:textId="77777777" w:rsidR="00070002" w:rsidRDefault="00070002" w:rsidP="00FA77BD"/>
        </w:tc>
      </w:tr>
      <w:tr w:rsidR="00070002" w:rsidRPr="008B61E4" w14:paraId="659AC544" w14:textId="77777777" w:rsidTr="00A14CDF">
        <w:tc>
          <w:tcPr>
            <w:tcW w:w="2405" w:type="dxa"/>
            <w:shd w:val="clear" w:color="auto" w:fill="F2F2F2" w:themeFill="background1" w:themeFillShade="F2"/>
          </w:tcPr>
          <w:p w14:paraId="659AC542" w14:textId="77777777" w:rsidR="00070002" w:rsidRDefault="00453393" w:rsidP="00FA77BD">
            <w:pPr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659AC543" w14:textId="77777777" w:rsidR="00070002" w:rsidRPr="00453393" w:rsidRDefault="00453393" w:rsidP="00453393">
            <w:pPr>
              <w:pStyle w:val="Bullet"/>
              <w:numPr>
                <w:ilvl w:val="0"/>
                <w:numId w:val="0"/>
              </w:numPr>
              <w:spacing w:before="0"/>
              <w:rPr>
                <w:rFonts w:cs="Calibri"/>
                <w:b/>
              </w:rPr>
            </w:pPr>
            <w:r w:rsidRPr="00453393">
              <w:rPr>
                <w:rFonts w:cs="Calibri"/>
                <w:b/>
              </w:rPr>
              <w:t>Activity</w:t>
            </w:r>
          </w:p>
        </w:tc>
      </w:tr>
      <w:tr w:rsidR="00070002" w:rsidRPr="008B61E4" w14:paraId="659AC54D" w14:textId="77777777" w:rsidTr="00A14CDF">
        <w:tc>
          <w:tcPr>
            <w:tcW w:w="2405" w:type="dxa"/>
            <w:shd w:val="clear" w:color="auto" w:fill="F2F2F2" w:themeFill="background1" w:themeFillShade="F2"/>
          </w:tcPr>
          <w:p w14:paraId="659AC545" w14:textId="77777777" w:rsidR="00070002" w:rsidRPr="00454638" w:rsidRDefault="00070002" w:rsidP="00FA77BD">
            <w:pPr>
              <w:rPr>
                <w:b/>
              </w:rPr>
            </w:pPr>
            <w:r>
              <w:rPr>
                <w:b/>
              </w:rPr>
              <w:t>Our management team</w:t>
            </w:r>
          </w:p>
        </w:tc>
        <w:tc>
          <w:tcPr>
            <w:tcW w:w="7513" w:type="dxa"/>
            <w:shd w:val="clear" w:color="auto" w:fill="auto"/>
          </w:tcPr>
          <w:p w14:paraId="659AC546" w14:textId="77777777" w:rsidR="00453393" w:rsidRPr="00453393" w:rsidRDefault="00453393" w:rsidP="00453393">
            <w:pPr>
              <w:rPr>
                <w:b/>
              </w:rPr>
            </w:pPr>
            <w:r w:rsidRPr="00453393">
              <w:rPr>
                <w:b/>
              </w:rPr>
              <w:t>Ensures:</w:t>
            </w:r>
          </w:p>
          <w:p w14:paraId="659AC547" w14:textId="77777777" w:rsidR="00453393" w:rsidRDefault="00453393" w:rsidP="00453393">
            <w:pPr>
              <w:pStyle w:val="ListParagraph"/>
              <w:numPr>
                <w:ilvl w:val="0"/>
                <w:numId w:val="16"/>
              </w:numPr>
            </w:pPr>
            <w:r>
              <w:t>Relevant</w:t>
            </w:r>
            <w:r w:rsidRPr="003D3D99">
              <w:t xml:space="preserve"> </w:t>
            </w:r>
            <w:r>
              <w:t>tikanga is</w:t>
            </w:r>
            <w:r w:rsidRPr="003D3D99">
              <w:t xml:space="preserve"> implemented by </w:t>
            </w:r>
            <w:r>
              <w:t>m</w:t>
            </w:r>
            <w:r w:rsidRPr="003D3D99">
              <w:t xml:space="preserve">ana </w:t>
            </w:r>
            <w:r>
              <w:t>w</w:t>
            </w:r>
            <w:r w:rsidRPr="003D3D99">
              <w:t>henua.</w:t>
            </w:r>
          </w:p>
          <w:p w14:paraId="659AC548" w14:textId="77777777" w:rsidR="001F109B" w:rsidRDefault="001F109B" w:rsidP="00453393">
            <w:pPr>
              <w:pStyle w:val="ListParagraph"/>
              <w:numPr>
                <w:ilvl w:val="0"/>
                <w:numId w:val="16"/>
              </w:numPr>
            </w:pPr>
            <w:r>
              <w:t>Relevant tikanga and rituals as required by wh</w:t>
            </w:r>
            <w:r>
              <w:rPr>
                <w:rFonts w:cs="Calibri"/>
              </w:rPr>
              <w:t>ā</w:t>
            </w:r>
            <w:r>
              <w:t>nau are implemented.</w:t>
            </w:r>
          </w:p>
          <w:p w14:paraId="659AC549" w14:textId="77777777" w:rsidR="00A14CDF" w:rsidRDefault="00A14CDF" w:rsidP="00453393">
            <w:pPr>
              <w:pStyle w:val="ListParagraph"/>
              <w:numPr>
                <w:ilvl w:val="0"/>
                <w:numId w:val="16"/>
              </w:numPr>
            </w:pPr>
            <w:r>
              <w:t>The cultural and religious processes are respected.</w:t>
            </w:r>
          </w:p>
          <w:p w14:paraId="659AC54A" w14:textId="77777777" w:rsidR="00C96A05" w:rsidRDefault="00C96A05" w:rsidP="00453393">
            <w:pPr>
              <w:pStyle w:val="ListParagraph"/>
              <w:numPr>
                <w:ilvl w:val="0"/>
                <w:numId w:val="16"/>
              </w:numPr>
            </w:pPr>
            <w:r>
              <w:t>Staff and friends of the person who passed away are supported to attend tangi and/or funeral arrangements.</w:t>
            </w:r>
          </w:p>
          <w:p w14:paraId="659AC54B" w14:textId="77777777" w:rsidR="00070002" w:rsidRDefault="00C96A05" w:rsidP="00A14CDF">
            <w:pPr>
              <w:pStyle w:val="ListParagraph"/>
              <w:numPr>
                <w:ilvl w:val="0"/>
                <w:numId w:val="16"/>
              </w:numPr>
            </w:pPr>
            <w:r>
              <w:t>Staff, wh</w:t>
            </w:r>
            <w:r w:rsidRPr="00A14CDF">
              <w:rPr>
                <w:rFonts w:cs="Calibri"/>
              </w:rPr>
              <w:t>ā</w:t>
            </w:r>
            <w:r>
              <w:t>nau and friends are supported to celebrate the life of the person who passed away</w:t>
            </w:r>
            <w:r w:rsidR="00A14CDF">
              <w:t>.</w:t>
            </w:r>
          </w:p>
          <w:p w14:paraId="659AC54C" w14:textId="77777777" w:rsidR="001805AB" w:rsidRPr="008B61E4" w:rsidRDefault="001805AB" w:rsidP="00744EB9">
            <w:pPr>
              <w:pStyle w:val="ListParagraph"/>
              <w:numPr>
                <w:ilvl w:val="0"/>
                <w:numId w:val="16"/>
              </w:numPr>
            </w:pPr>
            <w:r>
              <w:t xml:space="preserve">Staff and </w:t>
            </w:r>
            <w:r w:rsidRPr="00172DE5">
              <w:t>people</w:t>
            </w:r>
            <w:r>
              <w:t xml:space="preserve"> </w:t>
            </w:r>
            <w:r w:rsidR="001E0961">
              <w:t>the deceased</w:t>
            </w:r>
            <w:r w:rsidR="00744EB9">
              <w:t>/ tūpāpaku s</w:t>
            </w:r>
            <w:r>
              <w:t>hared accommodation and activities with get support with their grief process.</w:t>
            </w:r>
          </w:p>
        </w:tc>
      </w:tr>
    </w:tbl>
    <w:p w14:paraId="659AC54E" w14:textId="77777777" w:rsidR="001F463D" w:rsidRDefault="001F463D" w:rsidP="00AD5F8F">
      <w:pPr>
        <w:spacing w:before="100" w:beforeAutospacing="1" w:after="100" w:afterAutospacing="1"/>
        <w:rPr>
          <w:rFonts w:ascii="Times New Roman" w:hAnsi="Times New Roman"/>
          <w:sz w:val="24"/>
          <w:lang w:val="en-NZ" w:eastAsia="en-NZ"/>
        </w:rPr>
      </w:pPr>
    </w:p>
    <w:p w14:paraId="659AC54F" w14:textId="77777777" w:rsidR="00CC1286" w:rsidRPr="00CC1286" w:rsidRDefault="00CC1286" w:rsidP="00CC1286"/>
    <w:p w14:paraId="659AC550" w14:textId="77777777" w:rsidR="00E71FE9" w:rsidRPr="00CC1286" w:rsidRDefault="00E71FE9" w:rsidP="00CC1286"/>
    <w:p w14:paraId="659AC551" w14:textId="77777777" w:rsidR="00CC1286" w:rsidRPr="00CC1286" w:rsidRDefault="00CC1286" w:rsidP="00CC1286"/>
    <w:p w14:paraId="659AC552" w14:textId="77777777" w:rsidR="00CC1286" w:rsidRPr="00CC1286" w:rsidRDefault="00CC1286" w:rsidP="00CC1286"/>
    <w:p w14:paraId="659AC553" w14:textId="77777777" w:rsidR="00CC1286" w:rsidRPr="00CC1286" w:rsidRDefault="00CC1286" w:rsidP="00CC1286"/>
    <w:p w14:paraId="659AC554" w14:textId="77777777" w:rsidR="00CC1286" w:rsidRPr="00CC1286" w:rsidRDefault="00CC1286" w:rsidP="00CC1286"/>
    <w:p w14:paraId="659AC555" w14:textId="77777777" w:rsidR="00CC1286" w:rsidRPr="00CC1286" w:rsidRDefault="00CC1286" w:rsidP="00CC1286"/>
    <w:p w14:paraId="659AC556" w14:textId="77777777" w:rsidR="00CC1286" w:rsidRPr="00CC1286" w:rsidRDefault="00CC1286" w:rsidP="00CC1286"/>
    <w:p w14:paraId="659AC557" w14:textId="77777777" w:rsidR="00CC1286" w:rsidRPr="00CC1286" w:rsidRDefault="00CC1286" w:rsidP="00CC1286"/>
    <w:p w14:paraId="659AC558" w14:textId="77777777" w:rsidR="00CC1286" w:rsidRPr="00CC1286" w:rsidRDefault="00CC1286" w:rsidP="00CC1286"/>
    <w:p w14:paraId="659AC559" w14:textId="77777777" w:rsidR="00CC1286" w:rsidRDefault="00CC1286" w:rsidP="00CC1286"/>
    <w:p w14:paraId="659AC55A" w14:textId="77777777" w:rsidR="00CC1286" w:rsidRDefault="00CC1286" w:rsidP="00CC1286"/>
    <w:p w14:paraId="659AC55B" w14:textId="77777777" w:rsidR="005F7879" w:rsidRPr="00CC1286" w:rsidRDefault="005F7879" w:rsidP="00CC1286">
      <w:pPr>
        <w:tabs>
          <w:tab w:val="left" w:pos="3600"/>
        </w:tabs>
      </w:pPr>
    </w:p>
    <w:sectPr w:rsidR="005F7879" w:rsidRPr="00CC1286" w:rsidSect="00072A67">
      <w:headerReference w:type="default" r:id="rId24"/>
      <w:footerReference w:type="default" r:id="rId25"/>
      <w:pgSz w:w="11906" w:h="16838"/>
      <w:pgMar w:top="1135" w:right="849" w:bottom="993" w:left="993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30C51" w14:textId="77777777" w:rsidR="00072A67" w:rsidRDefault="00072A67" w:rsidP="00CC1286">
      <w:r>
        <w:separator/>
      </w:r>
    </w:p>
  </w:endnote>
  <w:endnote w:type="continuationSeparator" w:id="0">
    <w:p w14:paraId="4622A507" w14:textId="77777777" w:rsidR="00072A67" w:rsidRDefault="00072A67" w:rsidP="00CC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38" w:type="dxa"/>
      <w:tblInd w:w="-5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4"/>
      <w:gridCol w:w="453"/>
      <w:gridCol w:w="844"/>
      <w:gridCol w:w="1191"/>
      <w:gridCol w:w="1274"/>
      <w:gridCol w:w="1402"/>
      <w:gridCol w:w="956"/>
      <w:gridCol w:w="1402"/>
      <w:gridCol w:w="1558"/>
      <w:gridCol w:w="904"/>
    </w:tblGrid>
    <w:tr w:rsidR="006D0E53" w:rsidRPr="00022CBE" w14:paraId="659AC56B" w14:textId="77777777" w:rsidTr="006D0E53">
      <w:trPr>
        <w:trHeight w:val="306"/>
      </w:trPr>
      <w:tc>
        <w:tcPr>
          <w:tcW w:w="9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9AC561" w14:textId="77777777" w:rsidR="006D0E53" w:rsidRPr="00022CBE" w:rsidRDefault="006D0E53" w:rsidP="006D0E53">
          <w:pPr>
            <w:pStyle w:val="Footer"/>
            <w:rPr>
              <w:rFonts w:asciiTheme="minorHAnsi" w:hAnsiTheme="minorHAnsi" w:cstheme="minorHAnsi"/>
              <w:b/>
            </w:rPr>
          </w:pPr>
          <w:r w:rsidRPr="00022CBE">
            <w:rPr>
              <w:rFonts w:asciiTheme="minorHAnsi" w:hAnsiTheme="minorHAnsi" w:cstheme="minorHAnsi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9AC562" w14:textId="77777777" w:rsidR="006D0E53" w:rsidRPr="00022CBE" w:rsidRDefault="006D0E53" w:rsidP="006D0E53">
          <w:pPr>
            <w:pStyle w:val="Footer"/>
            <w:rPr>
              <w:rFonts w:asciiTheme="minorHAnsi" w:hAnsiTheme="minorHAnsi" w:cstheme="minorHAnsi"/>
              <w:b/>
            </w:rPr>
          </w:pPr>
          <w:r w:rsidRPr="00022CBE">
            <w:rPr>
              <w:rFonts w:asciiTheme="minorHAnsi" w:hAnsiTheme="minorHAnsi" w:cstheme="minorHAnsi"/>
            </w:rPr>
            <w:t>V</w:t>
          </w:r>
          <w:r>
            <w:rPr>
              <w:rFonts w:asciiTheme="minorHAnsi" w:hAnsiTheme="minorHAnsi" w:cstheme="minorHAnsi"/>
            </w:rPr>
            <w:t>3</w:t>
          </w:r>
        </w:p>
      </w:tc>
      <w:tc>
        <w:tcPr>
          <w:tcW w:w="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9AC563" w14:textId="77777777" w:rsidR="006D0E53" w:rsidRPr="00022CBE" w:rsidRDefault="006D0E53" w:rsidP="006D0E53">
          <w:pPr>
            <w:pStyle w:val="Footer"/>
            <w:rPr>
              <w:rFonts w:asciiTheme="minorHAnsi" w:hAnsiTheme="minorHAnsi" w:cstheme="minorHAnsi"/>
              <w:b/>
            </w:rPr>
          </w:pPr>
          <w:r w:rsidRPr="00022CBE">
            <w:rPr>
              <w:rFonts w:asciiTheme="minorHAnsi" w:hAnsiTheme="minorHAnsi" w:cstheme="minorHAnsi"/>
            </w:rPr>
            <w:t>Issued</w:t>
          </w:r>
          <w:r>
            <w:rPr>
              <w:rFonts w:asciiTheme="minorHAnsi" w:hAnsiTheme="minorHAnsi" w:cstheme="minorHAnsi"/>
            </w:rPr>
            <w:t>:</w:t>
          </w:r>
          <w:r w:rsidRPr="00022CBE">
            <w:rPr>
              <w:rFonts w:asciiTheme="minorHAnsi" w:hAnsiTheme="minorHAnsi" w:cstheme="minorHAnsi"/>
            </w:rPr>
            <w:t xml:space="preserve"> </w:t>
          </w:r>
        </w:p>
      </w:tc>
      <w:tc>
        <w:tcPr>
          <w:tcW w:w="11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9AC564" w14:textId="77777777" w:rsidR="006D0E53" w:rsidRPr="00271A0B" w:rsidRDefault="006D0E53" w:rsidP="006D0E53">
          <w:pPr>
            <w:pStyle w:val="Foo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Dec </w:t>
          </w:r>
          <w:r w:rsidRPr="00271A0B">
            <w:rPr>
              <w:rFonts w:asciiTheme="minorHAnsi" w:hAnsiTheme="minorHAnsi" w:cstheme="minorHAnsi"/>
            </w:rPr>
            <w:t>2023</w:t>
          </w:r>
        </w:p>
      </w:tc>
      <w:tc>
        <w:tcPr>
          <w:tcW w:w="1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9AC565" w14:textId="77777777" w:rsidR="006D0E53" w:rsidRPr="00022CBE" w:rsidRDefault="006D0E53" w:rsidP="006D0E53">
          <w:pPr>
            <w:pStyle w:val="Footer"/>
            <w:rPr>
              <w:rFonts w:asciiTheme="minorHAnsi" w:hAnsiTheme="minorHAnsi" w:cstheme="minorHAnsi"/>
              <w:b/>
            </w:rPr>
          </w:pPr>
          <w:r w:rsidRPr="00022CBE">
            <w:rPr>
              <w:rFonts w:asciiTheme="minorHAnsi" w:hAnsiTheme="minorHAnsi" w:cstheme="minorHAnsi"/>
            </w:rPr>
            <w:t>Created by:</w:t>
          </w:r>
        </w:p>
      </w:tc>
      <w:tc>
        <w:tcPr>
          <w:tcW w:w="1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9AC566" w14:textId="77777777" w:rsidR="006D0E53" w:rsidRPr="00022CBE" w:rsidRDefault="006D0E53" w:rsidP="006D0E53">
          <w:pPr>
            <w:pStyle w:val="Footer"/>
            <w:rPr>
              <w:rFonts w:asciiTheme="minorHAnsi" w:hAnsiTheme="minorHAnsi" w:cstheme="minorHAnsi"/>
              <w:b/>
            </w:rPr>
          </w:pPr>
          <w:r w:rsidRPr="00022CBE">
            <w:rPr>
              <w:rFonts w:asciiTheme="minorHAnsi" w:hAnsiTheme="minorHAnsi" w:cstheme="minorHAnsi"/>
            </w:rPr>
            <w:t>GS</w:t>
          </w:r>
          <w:r>
            <w:rPr>
              <w:rFonts w:asciiTheme="minorHAnsi" w:hAnsiTheme="minorHAnsi" w:cstheme="minorHAnsi"/>
            </w:rPr>
            <w:t xml:space="preserve"> </w:t>
          </w:r>
          <w:r w:rsidRPr="00022CBE">
            <w:rPr>
              <w:rFonts w:asciiTheme="minorHAnsi" w:hAnsiTheme="minorHAnsi" w:cstheme="minorHAnsi"/>
            </w:rPr>
            <w:t>Harnisch</w:t>
          </w:r>
        </w:p>
      </w:tc>
      <w:tc>
        <w:tcPr>
          <w:tcW w:w="956" w:type="dxa"/>
        </w:tcPr>
        <w:p w14:paraId="659AC567" w14:textId="77777777" w:rsidR="006D0E53" w:rsidRPr="00022CBE" w:rsidRDefault="006D0E53" w:rsidP="006D0E53">
          <w:pPr>
            <w:pStyle w:val="Footer"/>
            <w:rPr>
              <w:rFonts w:asciiTheme="minorHAnsi" w:hAnsiTheme="minorHAnsi" w:cstheme="minorHAnsi"/>
              <w:b/>
            </w:rPr>
          </w:pPr>
          <w:r w:rsidRPr="00022CBE">
            <w:rPr>
              <w:rFonts w:asciiTheme="minorHAnsi" w:hAnsiTheme="minorHAnsi" w:cstheme="minorHAnsi"/>
            </w:rPr>
            <w:t>Review</w:t>
          </w:r>
          <w:r>
            <w:rPr>
              <w:rFonts w:asciiTheme="minorHAnsi" w:hAnsiTheme="minorHAnsi" w:cstheme="minorHAnsi"/>
            </w:rPr>
            <w:t>:</w:t>
          </w:r>
          <w:r w:rsidRPr="00022CBE">
            <w:rPr>
              <w:rFonts w:asciiTheme="minorHAnsi" w:hAnsiTheme="minorHAnsi" w:cstheme="minorHAnsi"/>
            </w:rPr>
            <w:t xml:space="preserve"> </w:t>
          </w:r>
        </w:p>
      </w:tc>
      <w:tc>
        <w:tcPr>
          <w:tcW w:w="1402" w:type="dxa"/>
        </w:tcPr>
        <w:p w14:paraId="659AC568" w14:textId="77777777" w:rsidR="006D0E53" w:rsidRPr="00271A0B" w:rsidRDefault="006D0E53" w:rsidP="006D0E53">
          <w:pPr>
            <w:pStyle w:val="Foo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Dec</w:t>
          </w:r>
          <w:r w:rsidRPr="00271A0B">
            <w:rPr>
              <w:rFonts w:asciiTheme="minorHAnsi" w:hAnsiTheme="minorHAnsi" w:cstheme="minorHAnsi"/>
            </w:rPr>
            <w:t xml:space="preserve"> 2026</w:t>
          </w:r>
        </w:p>
      </w:tc>
      <w:tc>
        <w:tcPr>
          <w:tcW w:w="1558" w:type="dxa"/>
        </w:tcPr>
        <w:p w14:paraId="659AC569" w14:textId="77777777" w:rsidR="006D0E53" w:rsidRPr="00022CBE" w:rsidRDefault="006D0E53" w:rsidP="006D0E53">
          <w:pPr>
            <w:pStyle w:val="Footer"/>
            <w:rPr>
              <w:rFonts w:asciiTheme="minorHAnsi" w:hAnsiTheme="minorHAnsi" w:cstheme="minorHAnsi"/>
              <w:b/>
            </w:rPr>
          </w:pPr>
          <w:r w:rsidRPr="00022CBE">
            <w:rPr>
              <w:rFonts w:asciiTheme="minorHAnsi" w:hAnsiTheme="minorHAnsi" w:cstheme="minorHAnsi"/>
            </w:rPr>
            <w:t>Authorised by:</w:t>
          </w:r>
        </w:p>
      </w:tc>
      <w:tc>
        <w:tcPr>
          <w:tcW w:w="904" w:type="dxa"/>
        </w:tcPr>
        <w:p w14:paraId="659AC56A" w14:textId="77777777" w:rsidR="006D0E53" w:rsidRPr="00022CBE" w:rsidRDefault="006D0E53" w:rsidP="006D0E53">
          <w:pPr>
            <w:pStyle w:val="Footer"/>
            <w:rPr>
              <w:rFonts w:asciiTheme="minorHAnsi" w:hAnsiTheme="minorHAnsi" w:cstheme="minorHAnsi"/>
              <w:b/>
            </w:rPr>
          </w:pPr>
        </w:p>
      </w:tc>
    </w:tr>
  </w:tbl>
  <w:p w14:paraId="659AC56C" w14:textId="77777777" w:rsidR="006D0E53" w:rsidRPr="006D0E53" w:rsidRDefault="006D0E53" w:rsidP="006D0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3299" w14:textId="77777777" w:rsidR="00072A67" w:rsidRDefault="00072A67" w:rsidP="00CC1286">
      <w:r>
        <w:separator/>
      </w:r>
    </w:p>
  </w:footnote>
  <w:footnote w:type="continuationSeparator" w:id="0">
    <w:p w14:paraId="5A10FEF6" w14:textId="77777777" w:rsidR="00072A67" w:rsidRDefault="00072A67" w:rsidP="00CC1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C560" w14:textId="77777777" w:rsidR="00CC1286" w:rsidRPr="00CC1286" w:rsidRDefault="00CC1286" w:rsidP="00CC1286">
    <w:pPr>
      <w:pStyle w:val="Heading1"/>
      <w:jc w:val="center"/>
      <w:rPr>
        <w:b/>
        <w:color w:val="auto"/>
        <w:lang w:val="en-NZ"/>
      </w:rPr>
    </w:pPr>
    <w:r w:rsidRPr="00CC1286">
      <w:rPr>
        <w:b/>
        <w:color w:val="auto"/>
        <w:lang w:val="en-NZ"/>
      </w:rPr>
      <w:t>Responding to the death of tangata whai ora/tangata whaikaha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25CB"/>
    <w:multiLevelType w:val="hybridMultilevel"/>
    <w:tmpl w:val="1B141A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4B96"/>
    <w:multiLevelType w:val="multilevel"/>
    <w:tmpl w:val="ED62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C014F"/>
    <w:multiLevelType w:val="hybridMultilevel"/>
    <w:tmpl w:val="DE2A992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9654A"/>
    <w:multiLevelType w:val="hybridMultilevel"/>
    <w:tmpl w:val="48F8E2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E42EF"/>
    <w:multiLevelType w:val="hybridMultilevel"/>
    <w:tmpl w:val="442A4B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A3765"/>
    <w:multiLevelType w:val="hybridMultilevel"/>
    <w:tmpl w:val="2ECC9E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A0592"/>
    <w:multiLevelType w:val="hybridMultilevel"/>
    <w:tmpl w:val="B60096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4522B"/>
    <w:multiLevelType w:val="hybridMultilevel"/>
    <w:tmpl w:val="B33ED6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DC06D9"/>
    <w:multiLevelType w:val="hybridMultilevel"/>
    <w:tmpl w:val="B9A69F9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B83BC0"/>
    <w:multiLevelType w:val="hybridMultilevel"/>
    <w:tmpl w:val="FB4C5D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C510D"/>
    <w:multiLevelType w:val="hybridMultilevel"/>
    <w:tmpl w:val="56125D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1A2735"/>
    <w:multiLevelType w:val="multilevel"/>
    <w:tmpl w:val="8E98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5E2F56"/>
    <w:multiLevelType w:val="hybridMultilevel"/>
    <w:tmpl w:val="7D20D3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C63B67"/>
    <w:multiLevelType w:val="hybridMultilevel"/>
    <w:tmpl w:val="74F42F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5E4F1B"/>
    <w:multiLevelType w:val="multilevel"/>
    <w:tmpl w:val="2772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 w16cid:durableId="1201363067">
    <w:abstractNumId w:val="1"/>
  </w:num>
  <w:num w:numId="2" w16cid:durableId="1777289946">
    <w:abstractNumId w:val="14"/>
  </w:num>
  <w:num w:numId="3" w16cid:durableId="1024474566">
    <w:abstractNumId w:val="11"/>
  </w:num>
  <w:num w:numId="4" w16cid:durableId="1465274376">
    <w:abstractNumId w:val="2"/>
  </w:num>
  <w:num w:numId="5" w16cid:durableId="137038558">
    <w:abstractNumId w:val="9"/>
  </w:num>
  <w:num w:numId="6" w16cid:durableId="989094383">
    <w:abstractNumId w:val="10"/>
  </w:num>
  <w:num w:numId="7" w16cid:durableId="169148875">
    <w:abstractNumId w:val="6"/>
  </w:num>
  <w:num w:numId="8" w16cid:durableId="1927618049">
    <w:abstractNumId w:val="13"/>
  </w:num>
  <w:num w:numId="9" w16cid:durableId="194855742">
    <w:abstractNumId w:val="7"/>
  </w:num>
  <w:num w:numId="10" w16cid:durableId="358967988">
    <w:abstractNumId w:val="15"/>
  </w:num>
  <w:num w:numId="11" w16cid:durableId="1528567467">
    <w:abstractNumId w:val="5"/>
  </w:num>
  <w:num w:numId="12" w16cid:durableId="548299153">
    <w:abstractNumId w:val="3"/>
  </w:num>
  <w:num w:numId="13" w16cid:durableId="756748832">
    <w:abstractNumId w:val="8"/>
  </w:num>
  <w:num w:numId="14" w16cid:durableId="1903130584">
    <w:abstractNumId w:val="0"/>
  </w:num>
  <w:num w:numId="15" w16cid:durableId="2034111188">
    <w:abstractNumId w:val="12"/>
  </w:num>
  <w:num w:numId="16" w16cid:durableId="525485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yNbEwMzK2NDQyMzJV0lEKTi0uzszPAykwrAUA0+750SwAAAA="/>
  </w:docVars>
  <w:rsids>
    <w:rsidRoot w:val="00D115EA"/>
    <w:rsid w:val="00022DA0"/>
    <w:rsid w:val="00032927"/>
    <w:rsid w:val="0005312D"/>
    <w:rsid w:val="000652DD"/>
    <w:rsid w:val="00070002"/>
    <w:rsid w:val="00072A67"/>
    <w:rsid w:val="00090F7E"/>
    <w:rsid w:val="000D58D3"/>
    <w:rsid w:val="001036C9"/>
    <w:rsid w:val="001071C1"/>
    <w:rsid w:val="001240C5"/>
    <w:rsid w:val="0017278C"/>
    <w:rsid w:val="00172DE5"/>
    <w:rsid w:val="0017640B"/>
    <w:rsid w:val="001805AB"/>
    <w:rsid w:val="00187C74"/>
    <w:rsid w:val="0019255A"/>
    <w:rsid w:val="001E0961"/>
    <w:rsid w:val="001E580D"/>
    <w:rsid w:val="001F109B"/>
    <w:rsid w:val="001F2CA4"/>
    <w:rsid w:val="001F463D"/>
    <w:rsid w:val="002402FA"/>
    <w:rsid w:val="00275125"/>
    <w:rsid w:val="00277796"/>
    <w:rsid w:val="002B4E5E"/>
    <w:rsid w:val="002E7271"/>
    <w:rsid w:val="00314595"/>
    <w:rsid w:val="00314673"/>
    <w:rsid w:val="00395BB6"/>
    <w:rsid w:val="003B2770"/>
    <w:rsid w:val="003E178F"/>
    <w:rsid w:val="003E3D29"/>
    <w:rsid w:val="00401DAE"/>
    <w:rsid w:val="00453393"/>
    <w:rsid w:val="00454638"/>
    <w:rsid w:val="00486BDA"/>
    <w:rsid w:val="00595AC1"/>
    <w:rsid w:val="005B0F19"/>
    <w:rsid w:val="005D1C25"/>
    <w:rsid w:val="005F7879"/>
    <w:rsid w:val="006238CB"/>
    <w:rsid w:val="006820DC"/>
    <w:rsid w:val="006862FC"/>
    <w:rsid w:val="006A1DD6"/>
    <w:rsid w:val="006D0E53"/>
    <w:rsid w:val="006D5795"/>
    <w:rsid w:val="006E5AC5"/>
    <w:rsid w:val="006F22CA"/>
    <w:rsid w:val="006F78DC"/>
    <w:rsid w:val="0070257C"/>
    <w:rsid w:val="00705D28"/>
    <w:rsid w:val="00722257"/>
    <w:rsid w:val="00730A52"/>
    <w:rsid w:val="00744EB9"/>
    <w:rsid w:val="00766411"/>
    <w:rsid w:val="00790BD5"/>
    <w:rsid w:val="00797FF3"/>
    <w:rsid w:val="007B5032"/>
    <w:rsid w:val="008158B6"/>
    <w:rsid w:val="0083605C"/>
    <w:rsid w:val="00844B46"/>
    <w:rsid w:val="00865167"/>
    <w:rsid w:val="008B61E4"/>
    <w:rsid w:val="008C7962"/>
    <w:rsid w:val="008D5E69"/>
    <w:rsid w:val="009A7E10"/>
    <w:rsid w:val="009D6A61"/>
    <w:rsid w:val="00A14CDF"/>
    <w:rsid w:val="00AD5F8F"/>
    <w:rsid w:val="00B34944"/>
    <w:rsid w:val="00B35E5F"/>
    <w:rsid w:val="00B41195"/>
    <w:rsid w:val="00B56989"/>
    <w:rsid w:val="00B600D9"/>
    <w:rsid w:val="00B81D75"/>
    <w:rsid w:val="00BE17E4"/>
    <w:rsid w:val="00BF6EE5"/>
    <w:rsid w:val="00C62EBD"/>
    <w:rsid w:val="00C71C90"/>
    <w:rsid w:val="00C96A05"/>
    <w:rsid w:val="00CC1286"/>
    <w:rsid w:val="00CC1CFD"/>
    <w:rsid w:val="00CE1225"/>
    <w:rsid w:val="00CE152D"/>
    <w:rsid w:val="00D115EA"/>
    <w:rsid w:val="00D15AAD"/>
    <w:rsid w:val="00D168B9"/>
    <w:rsid w:val="00D2324C"/>
    <w:rsid w:val="00D6126E"/>
    <w:rsid w:val="00D90F73"/>
    <w:rsid w:val="00DA0AE4"/>
    <w:rsid w:val="00DD2B62"/>
    <w:rsid w:val="00E33871"/>
    <w:rsid w:val="00E47112"/>
    <w:rsid w:val="00E71FE9"/>
    <w:rsid w:val="00E83B57"/>
    <w:rsid w:val="00E92DBC"/>
    <w:rsid w:val="00EA3D69"/>
    <w:rsid w:val="00EB1894"/>
    <w:rsid w:val="00EC0875"/>
    <w:rsid w:val="00EF0C4C"/>
    <w:rsid w:val="00F42721"/>
    <w:rsid w:val="00FB0BCE"/>
    <w:rsid w:val="00FB35E2"/>
    <w:rsid w:val="00FC02E1"/>
    <w:rsid w:val="00FC4653"/>
    <w:rsid w:val="00FC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AC464"/>
  <w15:chartTrackingRefBased/>
  <w15:docId w15:val="{B549A9C7-4466-4AA3-9510-BACF6273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86"/>
    <w:pPr>
      <w:spacing w:after="0" w:line="240" w:lineRule="auto"/>
    </w:pPr>
    <w:rPr>
      <w:rFonts w:ascii="Calibri" w:hAnsi="Calibri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2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D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D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2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286"/>
    <w:rPr>
      <w:rFonts w:ascii="Calibri" w:hAnsi="Calibri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12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286"/>
    <w:rPr>
      <w:rFonts w:ascii="Calibri" w:hAnsi="Calibri" w:cs="Times New Roman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C12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uiPriority w:val="99"/>
    <w:unhideWhenUsed/>
    <w:rsid w:val="000329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292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032927"/>
    <w:rPr>
      <w:i/>
      <w:iCs/>
    </w:rPr>
  </w:style>
  <w:style w:type="character" w:customStyle="1" w:styleId="hgkelc">
    <w:name w:val="hgkelc"/>
    <w:basedOn w:val="DefaultParagraphFont"/>
    <w:rsid w:val="006820DC"/>
  </w:style>
  <w:style w:type="character" w:customStyle="1" w:styleId="Heading2Char">
    <w:name w:val="Heading 2 Char"/>
    <w:basedOn w:val="DefaultParagraphFont"/>
    <w:link w:val="Heading2"/>
    <w:uiPriority w:val="9"/>
    <w:semiHidden/>
    <w:rsid w:val="00E92D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semiHidden/>
    <w:unhideWhenUsed/>
    <w:rsid w:val="00E92DBC"/>
    <w:pPr>
      <w:spacing w:before="100" w:beforeAutospacing="1" w:after="100" w:afterAutospacing="1"/>
    </w:pPr>
    <w:rPr>
      <w:rFonts w:ascii="Times New Roman" w:hAnsi="Times New Roman"/>
      <w:sz w:val="24"/>
      <w:lang w:val="en-NZ" w:eastAsia="en-NZ"/>
    </w:rPr>
  </w:style>
  <w:style w:type="character" w:styleId="Strong">
    <w:name w:val="Strong"/>
    <w:basedOn w:val="DefaultParagraphFont"/>
    <w:uiPriority w:val="22"/>
    <w:qFormat/>
    <w:rsid w:val="00E92DB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D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F4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x21rb">
    <w:name w:val="kx21rb"/>
    <w:basedOn w:val="DefaultParagraphFont"/>
    <w:rsid w:val="006D5795"/>
  </w:style>
  <w:style w:type="paragraph" w:styleId="ListParagraph">
    <w:name w:val="List Paragraph"/>
    <w:basedOn w:val="Normal"/>
    <w:uiPriority w:val="34"/>
    <w:qFormat/>
    <w:rsid w:val="008D5E6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862FC"/>
    <w:rPr>
      <w:i/>
      <w:iCs/>
    </w:rPr>
  </w:style>
  <w:style w:type="paragraph" w:customStyle="1" w:styleId="Bullet">
    <w:name w:val="Bullet"/>
    <w:basedOn w:val="Normal"/>
    <w:qFormat/>
    <w:rsid w:val="00B41195"/>
    <w:pPr>
      <w:numPr>
        <w:numId w:val="10"/>
      </w:numPr>
      <w:spacing w:before="90" w:line="264" w:lineRule="auto"/>
    </w:pPr>
    <w:rPr>
      <w:szCs w:val="20"/>
      <w:lang w:val="en-NZ" w:eastAsia="en-GB"/>
    </w:rPr>
  </w:style>
  <w:style w:type="paragraph" w:customStyle="1" w:styleId="Default">
    <w:name w:val="Default"/>
    <w:rsid w:val="00D232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ealthed.govt.nz/products/funerals-in-aotearoa-after-a-death-by-suicide-guidance-for-whanau-kaumatua-funeral-directors-celebrants-and-faith-leaders-he2613" TargetMode="External"/><Relationship Id="rId18" Type="http://schemas.openxmlformats.org/officeDocument/2006/relationships/hyperlink" Target="https://www.tewhatuora.govt.nz/for-the-health-sector/health-sector-guidance/burial-and-cremation-act-1964/referring-a-death-to-the-coroner/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healthpages.co.nz/directory/categories/ethnic-support?p=1&amp;category=284&amp;zoom=15&amp;is_mile=0&amp;directory_radius=50&amp;view=lis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ovt.nz/browse/family-and-whanau/death-and-bereavement/what-you-need-to-do-when-someone-dies/" TargetMode="External"/><Relationship Id="rId17" Type="http://schemas.openxmlformats.org/officeDocument/2006/relationships/hyperlink" Target="https://www.tewhatuora.govt.nz/for-the-health-sector/health-sector-guidance/burial-and-cremation-act-1964/completing-death-documents/medical-certificate-of-cause-of-death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t.nz/publication/te-ara-whakapiri-principles-and-guidance-last-days-life" TargetMode="External"/><Relationship Id="rId20" Type="http://schemas.openxmlformats.org/officeDocument/2006/relationships/hyperlink" Target="https://www.whaikaha.govt.nz/for-service-providers/critical-incidents-death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uneraldirectors.co.nz/planning-a-funeral/what-to-do-when-someone-dies/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coronialservices.justice.govt.nz/the-familys-rights/get-help-after-someone-dies/" TargetMode="External"/><Relationship Id="rId23" Type="http://schemas.openxmlformats.org/officeDocument/2006/relationships/hyperlink" Target="https://www.whaikaha.govt.nz/for-service-providers/critical-incidents-death/" TargetMode="External"/><Relationship Id="rId10" Type="http://schemas.openxmlformats.org/officeDocument/2006/relationships/hyperlink" Target="https://coronialservices.justice.govt.nz/coronial-services/" TargetMode="External"/><Relationship Id="rId19" Type="http://schemas.openxmlformats.org/officeDocument/2006/relationships/hyperlink" Target="https://healthpages.co.nz/directory/categories/ethnic-support?p=1&amp;category=284&amp;zoom=15&amp;is_mile=0&amp;directory_radius=50&amp;view=lis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egislation.govt.nz/act/public/1988/0111/latest/DLM134197.html" TargetMode="External"/><Relationship Id="rId14" Type="http://schemas.openxmlformats.org/officeDocument/2006/relationships/hyperlink" Target="https://coronialservices.justice.govt.nz/information-for-doctors-and-nurse-practitioners/your-responsibilities/" TargetMode="External"/><Relationship Id="rId22" Type="http://schemas.openxmlformats.org/officeDocument/2006/relationships/hyperlink" Target="https://www.health.govt.nz/our-work/regulation-health-and-disability-system/certification-health-care-services/information-providers-health-care-services/notifying-incident-under-section-3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464F4C6DD314D89687075BE0FD8CC" ma:contentTypeVersion="18" ma:contentTypeDescription="Create a new document." ma:contentTypeScope="" ma:versionID="f4b48276ef8ab15ea9f692b48e06b4d9">
  <xsd:schema xmlns:xsd="http://www.w3.org/2001/XMLSchema" xmlns:xs="http://www.w3.org/2001/XMLSchema" xmlns:p="http://schemas.microsoft.com/office/2006/metadata/properties" xmlns:ns2="265630a2-a07a-4d00-bbd2-db27837995eb" xmlns:ns3="59cd1108-1ebf-419e-a126-7cd91ad5064c" targetNamespace="http://schemas.microsoft.com/office/2006/metadata/properties" ma:root="true" ma:fieldsID="232d3590ba0b58b8cb0d95723fcce816" ns2:_="" ns3:_="">
    <xsd:import namespace="265630a2-a07a-4d00-bbd2-db27837995eb"/>
    <xsd:import namespace="59cd1108-1ebf-419e-a126-7cd91ad506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630a2-a07a-4d00-bbd2-db27837995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1203d3-66f9-442a-beec-d9639c2b4cfc}" ma:internalName="TaxCatchAll" ma:showField="CatchAllData" ma:web="265630a2-a07a-4d00-bbd2-db2783799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1108-1ebf-419e-a126-7cd91ad50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8b231-d534-4035-8a26-a2ed3b173b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B3A7B-CA21-4A5D-86BB-59116F96A6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1815D-31E2-4E1F-B049-7F30AEF2E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630a2-a07a-4d00-bbd2-db27837995eb"/>
    <ds:schemaRef ds:uri="59cd1108-1ebf-419e-a126-7cd91ad50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4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Harnisch</dc:creator>
  <cp:keywords/>
  <dc:description/>
  <cp:lastModifiedBy>Abigail Freeland</cp:lastModifiedBy>
  <cp:revision>75</cp:revision>
  <dcterms:created xsi:type="dcterms:W3CDTF">2023-11-28T20:43:00Z</dcterms:created>
  <dcterms:modified xsi:type="dcterms:W3CDTF">2024-02-12T23:41:00Z</dcterms:modified>
</cp:coreProperties>
</file>