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E1" w:rsidRDefault="003268E1" w:rsidP="00F94E53">
      <w:pPr>
        <w:autoSpaceDE w:val="0"/>
        <w:autoSpaceDN w:val="0"/>
        <w:adjustRightInd w:val="0"/>
        <w:spacing w:after="0" w:line="240" w:lineRule="auto"/>
        <w:jc w:val="center"/>
        <w:rPr>
          <w:rFonts w:cs="Arial"/>
          <w:b/>
          <w:sz w:val="28"/>
          <w:szCs w:val="28"/>
        </w:rPr>
      </w:pPr>
      <w:bookmarkStart w:id="0" w:name="_GoBack"/>
      <w:bookmarkEnd w:id="0"/>
    </w:p>
    <w:p w:rsidR="00F94E53" w:rsidRPr="00F94E53" w:rsidRDefault="000139E8" w:rsidP="00F94E53">
      <w:pPr>
        <w:autoSpaceDE w:val="0"/>
        <w:autoSpaceDN w:val="0"/>
        <w:adjustRightInd w:val="0"/>
        <w:spacing w:after="0" w:line="240" w:lineRule="auto"/>
        <w:jc w:val="center"/>
        <w:rPr>
          <w:rFonts w:cs="Arial"/>
          <w:b/>
          <w:sz w:val="28"/>
          <w:szCs w:val="28"/>
        </w:rPr>
      </w:pPr>
      <w:r w:rsidRPr="00F94E53">
        <w:rPr>
          <w:rFonts w:cs="Arial"/>
          <w:b/>
          <w:sz w:val="28"/>
          <w:szCs w:val="28"/>
        </w:rPr>
        <w:t>Health and Disability Services (Safety) Act 2001:</w:t>
      </w:r>
    </w:p>
    <w:p w:rsidR="000139E8" w:rsidRPr="00F94E53" w:rsidRDefault="000139E8" w:rsidP="00F94E53">
      <w:pPr>
        <w:autoSpaceDE w:val="0"/>
        <w:autoSpaceDN w:val="0"/>
        <w:adjustRightInd w:val="0"/>
        <w:spacing w:after="0" w:line="240" w:lineRule="auto"/>
        <w:jc w:val="center"/>
        <w:rPr>
          <w:rFonts w:cs="Arial"/>
          <w:b/>
          <w:sz w:val="28"/>
          <w:szCs w:val="28"/>
        </w:rPr>
      </w:pPr>
      <w:r w:rsidRPr="00F94E53">
        <w:rPr>
          <w:rFonts w:cs="Arial"/>
          <w:b/>
          <w:sz w:val="28"/>
          <w:szCs w:val="28"/>
        </w:rPr>
        <w:t>Section 31(5</w:t>
      </w:r>
      <w:r w:rsidR="00094FD7" w:rsidRPr="00F94E53">
        <w:rPr>
          <w:rFonts w:cs="Arial"/>
          <w:b/>
          <w:sz w:val="28"/>
          <w:szCs w:val="28"/>
        </w:rPr>
        <w:t>) Reporting</w:t>
      </w:r>
      <w:r w:rsidRPr="00F94E53">
        <w:rPr>
          <w:rFonts w:cs="Arial"/>
          <w:b/>
          <w:sz w:val="28"/>
          <w:szCs w:val="28"/>
        </w:rPr>
        <w:t xml:space="preserve"> </w:t>
      </w:r>
      <w:r w:rsidR="00D2070F" w:rsidRPr="00F94E53">
        <w:rPr>
          <w:rFonts w:cs="Arial"/>
          <w:b/>
          <w:sz w:val="28"/>
          <w:szCs w:val="28"/>
        </w:rPr>
        <w:t>Guidelines</w:t>
      </w:r>
    </w:p>
    <w:p w:rsidR="000139E8" w:rsidRDefault="000139E8" w:rsidP="00F94E53">
      <w:pPr>
        <w:autoSpaceDE w:val="0"/>
        <w:autoSpaceDN w:val="0"/>
        <w:adjustRightInd w:val="0"/>
        <w:spacing w:after="0" w:line="240" w:lineRule="auto"/>
        <w:jc w:val="center"/>
        <w:rPr>
          <w:rFonts w:ascii="Futura-Book" w:hAnsi="Futura-Book" w:cs="Futura-Book"/>
          <w:sz w:val="19"/>
          <w:szCs w:val="19"/>
        </w:rPr>
      </w:pPr>
    </w:p>
    <w:p w:rsidR="000139E8" w:rsidRDefault="000139E8" w:rsidP="00F94E53">
      <w:pPr>
        <w:autoSpaceDE w:val="0"/>
        <w:autoSpaceDN w:val="0"/>
        <w:adjustRightInd w:val="0"/>
        <w:spacing w:after="0" w:line="240" w:lineRule="auto"/>
        <w:rPr>
          <w:rFonts w:ascii="Futura-Book" w:hAnsi="Futura-Book" w:cs="Futura-Book"/>
          <w:sz w:val="19"/>
          <w:szCs w:val="19"/>
        </w:rPr>
      </w:pPr>
    </w:p>
    <w:p w:rsidR="00BC0DF3" w:rsidRPr="00F94E53" w:rsidRDefault="00BC0DF3" w:rsidP="00F94E53">
      <w:pPr>
        <w:autoSpaceDE w:val="0"/>
        <w:autoSpaceDN w:val="0"/>
        <w:adjustRightInd w:val="0"/>
        <w:spacing w:after="120" w:line="240" w:lineRule="auto"/>
        <w:rPr>
          <w:rFonts w:cs="Arial"/>
          <w:b/>
          <w:szCs w:val="24"/>
        </w:rPr>
      </w:pPr>
      <w:r w:rsidRPr="00F94E53">
        <w:rPr>
          <w:rFonts w:cs="Arial"/>
          <w:b/>
          <w:szCs w:val="24"/>
        </w:rPr>
        <w:t>Scope:</w:t>
      </w:r>
    </w:p>
    <w:p w:rsidR="00BC0DF3" w:rsidRPr="000139E8" w:rsidRDefault="00D2070F" w:rsidP="00F94E53">
      <w:pPr>
        <w:autoSpaceDE w:val="0"/>
        <w:autoSpaceDN w:val="0"/>
        <w:adjustRightInd w:val="0"/>
        <w:spacing w:after="0" w:line="240" w:lineRule="auto"/>
        <w:rPr>
          <w:rFonts w:cs="Arial"/>
          <w:szCs w:val="24"/>
        </w:rPr>
      </w:pPr>
      <w:r>
        <w:rPr>
          <w:rFonts w:cs="Arial"/>
          <w:szCs w:val="24"/>
        </w:rPr>
        <w:t>These Guidelines apply to a</w:t>
      </w:r>
      <w:r w:rsidR="00BC0DF3" w:rsidRPr="000139E8">
        <w:rPr>
          <w:rFonts w:cs="Arial"/>
          <w:szCs w:val="24"/>
        </w:rPr>
        <w:t>ll New Zealand health and disability service providers who have obligations under</w:t>
      </w:r>
      <w:r>
        <w:rPr>
          <w:rFonts w:cs="Arial"/>
          <w:szCs w:val="24"/>
        </w:rPr>
        <w:t xml:space="preserve"> section 31 of</w:t>
      </w:r>
      <w:r w:rsidR="00BC0DF3" w:rsidRPr="000139E8">
        <w:rPr>
          <w:rFonts w:cs="Arial"/>
          <w:szCs w:val="24"/>
        </w:rPr>
        <w:t xml:space="preserve"> the Health and</w:t>
      </w:r>
      <w:r w:rsidR="000139E8" w:rsidRPr="000139E8">
        <w:rPr>
          <w:rFonts w:cs="Arial"/>
          <w:szCs w:val="24"/>
        </w:rPr>
        <w:t xml:space="preserve"> </w:t>
      </w:r>
      <w:r w:rsidR="00BC0DF3" w:rsidRPr="000139E8">
        <w:rPr>
          <w:rFonts w:cs="Arial"/>
          <w:szCs w:val="24"/>
        </w:rPr>
        <w:t>Disability Services (Safety) Act 2001</w:t>
      </w:r>
      <w:r>
        <w:rPr>
          <w:rFonts w:cs="Arial"/>
          <w:szCs w:val="24"/>
        </w:rPr>
        <w:t xml:space="preserve"> (HDSS Act)</w:t>
      </w:r>
      <w:r w:rsidR="00BC0DF3" w:rsidRPr="000139E8">
        <w:rPr>
          <w:rFonts w:cs="Arial"/>
          <w:szCs w:val="24"/>
        </w:rPr>
        <w:t>.</w:t>
      </w:r>
    </w:p>
    <w:p w:rsidR="00BC0DF3" w:rsidRDefault="00BC0DF3" w:rsidP="00F94E53">
      <w:pPr>
        <w:autoSpaceDE w:val="0"/>
        <w:autoSpaceDN w:val="0"/>
        <w:adjustRightInd w:val="0"/>
        <w:spacing w:after="0" w:line="240" w:lineRule="auto"/>
        <w:rPr>
          <w:rFonts w:cs="Arial"/>
          <w:szCs w:val="24"/>
        </w:rPr>
      </w:pPr>
    </w:p>
    <w:p w:rsidR="00D2070F" w:rsidRPr="00543DD1" w:rsidRDefault="00D2070F" w:rsidP="00F94E53">
      <w:pPr>
        <w:autoSpaceDE w:val="0"/>
        <w:autoSpaceDN w:val="0"/>
        <w:adjustRightInd w:val="0"/>
        <w:spacing w:after="120" w:line="240" w:lineRule="auto"/>
        <w:rPr>
          <w:rFonts w:cs="Arial"/>
          <w:b/>
          <w:szCs w:val="24"/>
        </w:rPr>
      </w:pPr>
      <w:r>
        <w:rPr>
          <w:rFonts w:cs="Arial"/>
          <w:b/>
          <w:szCs w:val="24"/>
        </w:rPr>
        <w:t>Disclaimer</w:t>
      </w:r>
    </w:p>
    <w:p w:rsidR="00D2070F" w:rsidRPr="000139E8" w:rsidRDefault="00D2070F" w:rsidP="00F94E53">
      <w:pPr>
        <w:autoSpaceDE w:val="0"/>
        <w:autoSpaceDN w:val="0"/>
        <w:adjustRightInd w:val="0"/>
        <w:spacing w:after="0" w:line="240" w:lineRule="auto"/>
        <w:rPr>
          <w:rFonts w:cs="Arial"/>
          <w:szCs w:val="24"/>
        </w:rPr>
      </w:pPr>
      <w:r>
        <w:rPr>
          <w:rFonts w:cs="Arial"/>
          <w:szCs w:val="24"/>
        </w:rPr>
        <w:t>It is important to note that these Guidelines are to give general guidance to those reporting under section 31(5) to know what type of events to report. These Guidelines do not cover every reportable even</w:t>
      </w:r>
      <w:r w:rsidR="00130A20">
        <w:rPr>
          <w:rFonts w:cs="Arial"/>
          <w:szCs w:val="24"/>
        </w:rPr>
        <w:t>t</w:t>
      </w:r>
      <w:r>
        <w:rPr>
          <w:rFonts w:cs="Arial"/>
          <w:szCs w:val="24"/>
        </w:rPr>
        <w:t xml:space="preserve"> under section 31(5) and those reporting must use their discretion when assessing what must be reported. </w:t>
      </w:r>
      <w:r w:rsidR="00130A20">
        <w:rPr>
          <w:rFonts w:cs="Arial"/>
          <w:szCs w:val="24"/>
        </w:rPr>
        <w:t xml:space="preserve">These Guidelines do not cover every type of reportable event. </w:t>
      </w:r>
      <w:r>
        <w:rPr>
          <w:rFonts w:cs="Arial"/>
          <w:szCs w:val="24"/>
        </w:rPr>
        <w:t>The Ministry does not take reliance on these Guidelines to be a defence for any lack of reporting.</w:t>
      </w:r>
    </w:p>
    <w:p w:rsidR="00E9766E" w:rsidRDefault="00E9766E" w:rsidP="00F94E53">
      <w:pPr>
        <w:autoSpaceDE w:val="0"/>
        <w:autoSpaceDN w:val="0"/>
        <w:adjustRightInd w:val="0"/>
        <w:spacing w:after="0" w:line="240" w:lineRule="auto"/>
        <w:rPr>
          <w:rFonts w:cs="Arial"/>
          <w:b/>
          <w:sz w:val="22"/>
        </w:rPr>
      </w:pPr>
    </w:p>
    <w:p w:rsidR="000139E8" w:rsidRDefault="00D2070F" w:rsidP="00F94E53">
      <w:pPr>
        <w:autoSpaceDE w:val="0"/>
        <w:autoSpaceDN w:val="0"/>
        <w:adjustRightInd w:val="0"/>
        <w:spacing w:after="120" w:line="240" w:lineRule="auto"/>
        <w:rPr>
          <w:rFonts w:cs="Arial"/>
          <w:szCs w:val="24"/>
        </w:rPr>
      </w:pPr>
      <w:r>
        <w:rPr>
          <w:rFonts w:cs="Arial"/>
          <w:szCs w:val="24"/>
        </w:rPr>
        <w:t>Safety of Reporting</w:t>
      </w:r>
      <w:r w:rsidR="000139E8">
        <w:rPr>
          <w:rFonts w:cs="Arial"/>
          <w:szCs w:val="24"/>
        </w:rPr>
        <w:t>:</w:t>
      </w:r>
    </w:p>
    <w:p w:rsidR="000139E8" w:rsidRDefault="00F94E53" w:rsidP="00F94E53">
      <w:pPr>
        <w:pStyle w:val="ListParagraph"/>
        <w:numPr>
          <w:ilvl w:val="0"/>
          <w:numId w:val="1"/>
        </w:numPr>
        <w:autoSpaceDE w:val="0"/>
        <w:autoSpaceDN w:val="0"/>
        <w:adjustRightInd w:val="0"/>
        <w:spacing w:after="120" w:line="240" w:lineRule="auto"/>
        <w:ind w:left="425" w:hanging="425"/>
        <w:contextualSpacing w:val="0"/>
        <w:rPr>
          <w:rFonts w:cs="Arial"/>
          <w:szCs w:val="24"/>
        </w:rPr>
      </w:pPr>
      <w:r>
        <w:rPr>
          <w:rFonts w:cs="Arial"/>
          <w:szCs w:val="24"/>
        </w:rPr>
        <w:t>c</w:t>
      </w:r>
      <w:r w:rsidR="00BC0DF3" w:rsidRPr="000139E8">
        <w:rPr>
          <w:rFonts w:cs="Arial"/>
          <w:szCs w:val="24"/>
        </w:rPr>
        <w:t>onsumers and staff must be empowered to report events without fear of</w:t>
      </w:r>
      <w:r w:rsidR="000139E8" w:rsidRPr="000139E8">
        <w:rPr>
          <w:rFonts w:cs="Arial"/>
          <w:szCs w:val="24"/>
        </w:rPr>
        <w:t xml:space="preserve"> </w:t>
      </w:r>
      <w:r w:rsidR="00BC0DF3" w:rsidRPr="000139E8">
        <w:rPr>
          <w:rFonts w:cs="Arial"/>
          <w:szCs w:val="24"/>
        </w:rPr>
        <w:t>retribution</w:t>
      </w:r>
      <w:r w:rsidR="00D2070F">
        <w:rPr>
          <w:rFonts w:cs="Arial"/>
          <w:szCs w:val="24"/>
        </w:rPr>
        <w:t>;</w:t>
      </w:r>
      <w:r w:rsidR="00BC0DF3" w:rsidRPr="000139E8">
        <w:rPr>
          <w:rFonts w:cs="Arial"/>
          <w:szCs w:val="24"/>
        </w:rPr>
        <w:t xml:space="preserve"> </w:t>
      </w:r>
    </w:p>
    <w:p w:rsidR="000139E8" w:rsidRDefault="00F94E53" w:rsidP="00F94E53">
      <w:pPr>
        <w:pStyle w:val="ListParagraph"/>
        <w:numPr>
          <w:ilvl w:val="0"/>
          <w:numId w:val="1"/>
        </w:numPr>
        <w:autoSpaceDE w:val="0"/>
        <w:autoSpaceDN w:val="0"/>
        <w:adjustRightInd w:val="0"/>
        <w:spacing w:after="120" w:line="240" w:lineRule="auto"/>
        <w:ind w:left="425" w:hanging="425"/>
        <w:contextualSpacing w:val="0"/>
        <w:rPr>
          <w:rFonts w:cs="Arial"/>
          <w:szCs w:val="24"/>
        </w:rPr>
      </w:pPr>
      <w:r>
        <w:rPr>
          <w:rFonts w:cs="Arial"/>
          <w:szCs w:val="24"/>
        </w:rPr>
        <w:t>e</w:t>
      </w:r>
      <w:r w:rsidR="00BC0DF3" w:rsidRPr="000139E8">
        <w:rPr>
          <w:rFonts w:cs="Arial"/>
          <w:szCs w:val="24"/>
        </w:rPr>
        <w:t xml:space="preserve">vents that are reported must be investigated with a focus on determining the </w:t>
      </w:r>
      <w:r w:rsidR="000139E8" w:rsidRPr="000139E8">
        <w:rPr>
          <w:rFonts w:cs="Arial"/>
          <w:szCs w:val="24"/>
        </w:rPr>
        <w:t>u</w:t>
      </w:r>
      <w:r w:rsidR="00BC0DF3" w:rsidRPr="000139E8">
        <w:rPr>
          <w:rFonts w:cs="Arial"/>
          <w:szCs w:val="24"/>
        </w:rPr>
        <w:t>nderlying</w:t>
      </w:r>
      <w:r w:rsidR="000139E8" w:rsidRPr="000139E8">
        <w:rPr>
          <w:rFonts w:cs="Arial"/>
          <w:szCs w:val="24"/>
        </w:rPr>
        <w:t xml:space="preserve"> </w:t>
      </w:r>
      <w:r w:rsidR="00BC0DF3" w:rsidRPr="000139E8">
        <w:rPr>
          <w:rFonts w:cs="Arial"/>
          <w:szCs w:val="24"/>
        </w:rPr>
        <w:t>system failures and not blaming or punishing individuals</w:t>
      </w:r>
      <w:r w:rsidR="00D2070F">
        <w:rPr>
          <w:rFonts w:cs="Arial"/>
          <w:szCs w:val="24"/>
        </w:rPr>
        <w:t>;</w:t>
      </w:r>
      <w:r w:rsidR="00BC0DF3" w:rsidRPr="000139E8">
        <w:rPr>
          <w:rFonts w:cs="Arial"/>
          <w:szCs w:val="24"/>
        </w:rPr>
        <w:t xml:space="preserve"> </w:t>
      </w:r>
    </w:p>
    <w:p w:rsidR="000139E8" w:rsidRDefault="00F94E53" w:rsidP="00F94E53">
      <w:pPr>
        <w:pStyle w:val="ListParagraph"/>
        <w:numPr>
          <w:ilvl w:val="0"/>
          <w:numId w:val="1"/>
        </w:numPr>
        <w:autoSpaceDE w:val="0"/>
        <w:autoSpaceDN w:val="0"/>
        <w:adjustRightInd w:val="0"/>
        <w:spacing w:after="120" w:line="240" w:lineRule="auto"/>
        <w:ind w:left="425" w:hanging="425"/>
        <w:contextualSpacing w:val="0"/>
        <w:rPr>
          <w:rFonts w:cs="Arial"/>
          <w:szCs w:val="24"/>
        </w:rPr>
      </w:pPr>
      <w:r>
        <w:rPr>
          <w:rFonts w:cs="Arial"/>
          <w:szCs w:val="24"/>
        </w:rPr>
        <w:t>p</w:t>
      </w:r>
      <w:r w:rsidR="00BC0DF3" w:rsidRPr="000139E8">
        <w:rPr>
          <w:rFonts w:cs="Arial"/>
          <w:szCs w:val="24"/>
        </w:rPr>
        <w:t>roviders must ensure a just culture prevails</w:t>
      </w:r>
      <w:r w:rsidR="000139E8" w:rsidRPr="000139E8">
        <w:rPr>
          <w:rFonts w:cs="Arial"/>
          <w:szCs w:val="24"/>
        </w:rPr>
        <w:t xml:space="preserve"> </w:t>
      </w:r>
      <w:r w:rsidR="00BC0DF3" w:rsidRPr="000139E8">
        <w:rPr>
          <w:rFonts w:cs="Arial"/>
          <w:szCs w:val="24"/>
        </w:rPr>
        <w:t>so individuals are not held accountable for system failures</w:t>
      </w:r>
      <w:r w:rsidR="00D2070F">
        <w:rPr>
          <w:rFonts w:cs="Arial"/>
          <w:szCs w:val="24"/>
        </w:rPr>
        <w:t>;</w:t>
      </w:r>
      <w:r w:rsidR="00BC0DF3" w:rsidRPr="000139E8">
        <w:rPr>
          <w:rFonts w:cs="Arial"/>
          <w:szCs w:val="24"/>
        </w:rPr>
        <w:t xml:space="preserve"> </w:t>
      </w:r>
    </w:p>
    <w:p w:rsidR="009866FE" w:rsidRPr="000139E8" w:rsidRDefault="00F94E53" w:rsidP="00F94E53">
      <w:pPr>
        <w:pStyle w:val="ListParagraph"/>
        <w:numPr>
          <w:ilvl w:val="0"/>
          <w:numId w:val="1"/>
        </w:numPr>
        <w:autoSpaceDE w:val="0"/>
        <w:autoSpaceDN w:val="0"/>
        <w:adjustRightInd w:val="0"/>
        <w:spacing w:after="0" w:line="240" w:lineRule="auto"/>
        <w:ind w:left="425" w:hanging="425"/>
        <w:contextualSpacing w:val="0"/>
        <w:rPr>
          <w:rFonts w:cs="Arial"/>
          <w:szCs w:val="24"/>
        </w:rPr>
      </w:pPr>
      <w:r>
        <w:rPr>
          <w:rFonts w:cs="Arial"/>
          <w:szCs w:val="24"/>
        </w:rPr>
        <w:t>i</w:t>
      </w:r>
      <w:r w:rsidR="00BC0DF3" w:rsidRPr="000139E8">
        <w:rPr>
          <w:rFonts w:cs="Arial"/>
          <w:szCs w:val="24"/>
        </w:rPr>
        <w:t xml:space="preserve">ncidents that involve a criminal </w:t>
      </w:r>
      <w:r w:rsidR="000139E8" w:rsidRPr="000139E8">
        <w:rPr>
          <w:rFonts w:cs="Arial"/>
          <w:szCs w:val="24"/>
        </w:rPr>
        <w:t>act</w:t>
      </w:r>
      <w:r w:rsidR="00BC0DF3" w:rsidRPr="000139E8">
        <w:rPr>
          <w:rFonts w:cs="Arial"/>
          <w:szCs w:val="24"/>
        </w:rPr>
        <w:t xml:space="preserve"> or</w:t>
      </w:r>
      <w:r w:rsidR="000139E8" w:rsidRPr="000139E8">
        <w:rPr>
          <w:rFonts w:cs="Arial"/>
          <w:szCs w:val="24"/>
        </w:rPr>
        <w:t xml:space="preserve"> </w:t>
      </w:r>
      <w:r w:rsidR="00BC0DF3" w:rsidRPr="000139E8">
        <w:rPr>
          <w:rFonts w:cs="Arial"/>
          <w:szCs w:val="24"/>
        </w:rPr>
        <w:t xml:space="preserve">substance abuse by the health practitioner, a deliberate unsafe act, or </w:t>
      </w:r>
      <w:r w:rsidR="000139E8" w:rsidRPr="000139E8">
        <w:rPr>
          <w:rFonts w:cs="Arial"/>
          <w:szCs w:val="24"/>
        </w:rPr>
        <w:t>deliberate</w:t>
      </w:r>
      <w:r w:rsidR="00BC0DF3" w:rsidRPr="000139E8">
        <w:rPr>
          <w:rFonts w:cs="Arial"/>
          <w:szCs w:val="24"/>
        </w:rPr>
        <w:t xml:space="preserve"> consumer harm will</w:t>
      </w:r>
      <w:r w:rsidR="000139E8" w:rsidRPr="000139E8">
        <w:rPr>
          <w:rFonts w:cs="Arial"/>
          <w:szCs w:val="24"/>
        </w:rPr>
        <w:t xml:space="preserve"> </w:t>
      </w:r>
      <w:r w:rsidR="00BC0DF3" w:rsidRPr="000139E8">
        <w:rPr>
          <w:rFonts w:cs="Arial"/>
          <w:szCs w:val="24"/>
        </w:rPr>
        <w:t>be managed in a separate process and may involve the relevant regulatory authorities.</w:t>
      </w:r>
    </w:p>
    <w:p w:rsidR="000139E8" w:rsidRDefault="000139E8" w:rsidP="00F94E53">
      <w:pPr>
        <w:autoSpaceDE w:val="0"/>
        <w:autoSpaceDN w:val="0"/>
        <w:adjustRightInd w:val="0"/>
        <w:spacing w:after="0" w:line="240" w:lineRule="auto"/>
        <w:rPr>
          <w:rFonts w:cs="Arial"/>
          <w:szCs w:val="24"/>
        </w:rPr>
      </w:pPr>
    </w:p>
    <w:p w:rsidR="00E9766E" w:rsidRPr="00F94E53" w:rsidRDefault="00E9766E" w:rsidP="00F94E53">
      <w:pPr>
        <w:rPr>
          <w:rFonts w:cs="Arial"/>
          <w:b/>
          <w:szCs w:val="24"/>
        </w:rPr>
      </w:pPr>
      <w:r w:rsidRPr="00F94E53">
        <w:rPr>
          <w:rFonts w:cs="Arial"/>
          <w:b/>
          <w:szCs w:val="24"/>
        </w:rPr>
        <w:t>Background</w:t>
      </w:r>
    </w:p>
    <w:p w:rsidR="00E9766E" w:rsidRPr="00E9766E" w:rsidRDefault="00E9766E" w:rsidP="00F94E53">
      <w:pPr>
        <w:rPr>
          <w:rFonts w:cs="Arial"/>
          <w:szCs w:val="24"/>
        </w:rPr>
      </w:pPr>
      <w:r w:rsidRPr="00E9766E">
        <w:rPr>
          <w:rFonts w:cs="Arial"/>
          <w:szCs w:val="24"/>
        </w:rPr>
        <w:t>The HDSS Act section 31(5) requires</w:t>
      </w:r>
      <w:r w:rsidR="00D2070F">
        <w:rPr>
          <w:rFonts w:cs="Arial"/>
          <w:szCs w:val="24"/>
        </w:rPr>
        <w:t xml:space="preserve"> that</w:t>
      </w:r>
      <w:r w:rsidRPr="00E9766E">
        <w:rPr>
          <w:rFonts w:cs="Arial"/>
          <w:szCs w:val="24"/>
        </w:rPr>
        <w:t>:</w:t>
      </w:r>
    </w:p>
    <w:p w:rsidR="00E9766E" w:rsidRPr="00543DD1" w:rsidRDefault="00130A20" w:rsidP="00F94E53">
      <w:pPr>
        <w:pStyle w:val="labelled4"/>
        <w:shd w:val="clear" w:color="auto" w:fill="FFFFFF"/>
        <w:spacing w:after="120"/>
        <w:ind w:left="360"/>
        <w:rPr>
          <w:rFonts w:ascii="Arial" w:eastAsiaTheme="minorHAnsi" w:hAnsi="Arial" w:cs="Arial"/>
          <w:i/>
          <w:color w:val="auto"/>
          <w:lang w:eastAsia="en-US"/>
        </w:rPr>
      </w:pPr>
      <w:r>
        <w:rPr>
          <w:rFonts w:ascii="Arial" w:eastAsiaTheme="minorHAnsi" w:hAnsi="Arial" w:cs="Arial"/>
          <w:color w:val="auto"/>
          <w:lang w:eastAsia="en-US"/>
        </w:rPr>
        <w:t>“</w:t>
      </w:r>
      <w:r w:rsidR="00E9766E" w:rsidRPr="00543DD1">
        <w:rPr>
          <w:rFonts w:ascii="Arial" w:eastAsiaTheme="minorHAnsi" w:hAnsi="Arial" w:cs="Arial"/>
          <w:i/>
          <w:color w:val="auto"/>
          <w:lang w:eastAsia="en-US"/>
        </w:rPr>
        <w:t>A person certified to provide health care services of any kind must promptly give the Director-General written notice of</w:t>
      </w:r>
      <w:r w:rsidR="00360B54">
        <w:rPr>
          <w:rFonts w:ascii="Arial" w:eastAsiaTheme="minorHAnsi" w:hAnsi="Arial" w:cs="Arial"/>
          <w:i/>
          <w:color w:val="auto"/>
          <w:lang w:eastAsia="en-US"/>
        </w:rPr>
        <w:t xml:space="preserve"> -</w:t>
      </w:r>
    </w:p>
    <w:p w:rsidR="00E9766E" w:rsidRPr="00F94E53" w:rsidRDefault="00E9766E" w:rsidP="00F94E53">
      <w:pPr>
        <w:pStyle w:val="labelled4"/>
        <w:shd w:val="clear" w:color="auto" w:fill="FFFFFF"/>
        <w:spacing w:after="120"/>
        <w:ind w:left="1134" w:hanging="567"/>
        <w:rPr>
          <w:rFonts w:ascii="Arial" w:eastAsiaTheme="minorHAnsi" w:hAnsi="Arial" w:cs="Arial"/>
          <w:i/>
          <w:color w:val="auto"/>
          <w:lang w:eastAsia="en-US"/>
        </w:rPr>
      </w:pPr>
      <w:r w:rsidRPr="00F94E53">
        <w:rPr>
          <w:rFonts w:ascii="Arial" w:hAnsi="Arial" w:cs="Arial"/>
          <w:i/>
        </w:rPr>
        <w:t>(a)</w:t>
      </w:r>
      <w:r w:rsidR="00F94E53">
        <w:rPr>
          <w:rFonts w:ascii="Arial" w:hAnsi="Arial" w:cs="Arial"/>
          <w:i/>
        </w:rPr>
        <w:tab/>
      </w:r>
      <w:r w:rsidRPr="00F94E53">
        <w:rPr>
          <w:rFonts w:ascii="Arial" w:hAnsi="Arial" w:cs="Arial"/>
          <w:i/>
        </w:rPr>
        <w:t>any incident or situation (for example, a fire, flood, or failure of equipment or facilities) that has put at risk, may have put at risk, puts at risk, or may be putting at risk the health or safety of people for whom the person was or is providing the services; and</w:t>
      </w:r>
    </w:p>
    <w:p w:rsidR="00E9766E" w:rsidRPr="00F94E53" w:rsidRDefault="00E9766E" w:rsidP="00F94E53">
      <w:pPr>
        <w:pStyle w:val="labelled4"/>
        <w:shd w:val="clear" w:color="auto" w:fill="FFFFFF"/>
        <w:spacing w:after="120"/>
        <w:ind w:left="1134" w:hanging="567"/>
        <w:rPr>
          <w:rFonts w:ascii="Arial" w:eastAsiaTheme="minorHAnsi" w:hAnsi="Arial" w:cs="Arial"/>
          <w:i/>
          <w:color w:val="auto"/>
          <w:lang w:eastAsia="en-US"/>
        </w:rPr>
      </w:pPr>
      <w:r w:rsidRPr="00F94E53">
        <w:rPr>
          <w:rFonts w:ascii="Arial" w:hAnsi="Arial" w:cs="Arial"/>
          <w:i/>
        </w:rPr>
        <w:t xml:space="preserve">(b) </w:t>
      </w:r>
      <w:r w:rsidR="00F94E53">
        <w:rPr>
          <w:rFonts w:ascii="Arial" w:hAnsi="Arial" w:cs="Arial"/>
          <w:i/>
        </w:rPr>
        <w:tab/>
        <w:t>a</w:t>
      </w:r>
      <w:r w:rsidRPr="00F94E53">
        <w:rPr>
          <w:rFonts w:ascii="Arial" w:hAnsi="Arial" w:cs="Arial"/>
          <w:i/>
        </w:rPr>
        <w:t>ny investigation commenced by a constable into any aspect of the services, their provision, or any premises in which they were provided; and</w:t>
      </w:r>
    </w:p>
    <w:p w:rsidR="00E9766E" w:rsidRPr="00F94E53" w:rsidRDefault="00E9766E" w:rsidP="00F94E53">
      <w:pPr>
        <w:pStyle w:val="labelled4"/>
        <w:shd w:val="clear" w:color="auto" w:fill="FFFFFF"/>
        <w:ind w:left="1134" w:hanging="567"/>
        <w:rPr>
          <w:rFonts w:ascii="Arial" w:hAnsi="Arial" w:cs="Arial"/>
          <w:i/>
        </w:rPr>
      </w:pPr>
      <w:r w:rsidRPr="00F94E53">
        <w:rPr>
          <w:rFonts w:ascii="Arial" w:hAnsi="Arial" w:cs="Arial"/>
          <w:i/>
        </w:rPr>
        <w:t xml:space="preserve">(c) </w:t>
      </w:r>
      <w:r w:rsidR="00F94E53">
        <w:rPr>
          <w:rFonts w:ascii="Arial" w:hAnsi="Arial" w:cs="Arial"/>
          <w:i/>
        </w:rPr>
        <w:tab/>
      </w:r>
      <w:r w:rsidRPr="00F94E53">
        <w:rPr>
          <w:rFonts w:ascii="Arial" w:hAnsi="Arial" w:cs="Arial"/>
          <w:i/>
        </w:rPr>
        <w:t xml:space="preserve">any death of a person to whom the person was providing the services, or occurring in any premises in which they were provided, that is required to be reported to a coroner under the </w:t>
      </w:r>
      <w:bookmarkStart w:id="1" w:name="DLM377056"/>
      <w:r w:rsidRPr="00F94E53">
        <w:rPr>
          <w:rFonts w:ascii="Arial" w:hAnsi="Arial" w:cs="Arial"/>
          <w:i/>
        </w:rPr>
        <w:fldChar w:fldCharType="begin"/>
      </w:r>
      <w:r w:rsidRPr="00F94E53">
        <w:rPr>
          <w:rFonts w:ascii="Arial" w:hAnsi="Arial" w:cs="Arial"/>
          <w:i/>
        </w:rPr>
        <w:instrText xml:space="preserve"> HYPERLINK "http://www.legislation.govt.nz/act/public/2001/0093/latest/link.aspx?search=ta_act_H_ac%40ainf%40anif_an%40bn%40rn_25_a&amp;p=2&amp;id=DLM377056" </w:instrText>
      </w:r>
      <w:r w:rsidRPr="00F94E53">
        <w:rPr>
          <w:rFonts w:ascii="Arial" w:hAnsi="Arial" w:cs="Arial"/>
          <w:i/>
        </w:rPr>
        <w:fldChar w:fldCharType="separate"/>
      </w:r>
      <w:r w:rsidRPr="00F94E53">
        <w:rPr>
          <w:rFonts w:ascii="Arial" w:hAnsi="Arial" w:cs="Arial"/>
          <w:i/>
        </w:rPr>
        <w:t>Coroners Act 2006</w:t>
      </w:r>
      <w:r w:rsidRPr="00F94E53">
        <w:rPr>
          <w:rFonts w:ascii="Arial" w:hAnsi="Arial" w:cs="Arial"/>
          <w:i/>
        </w:rPr>
        <w:fldChar w:fldCharType="end"/>
      </w:r>
      <w:bookmarkEnd w:id="1"/>
      <w:r w:rsidRPr="00F94E53">
        <w:rPr>
          <w:rFonts w:ascii="Arial" w:hAnsi="Arial" w:cs="Arial"/>
          <w:i/>
        </w:rPr>
        <w:t>.</w:t>
      </w:r>
      <w:r w:rsidR="00130A20" w:rsidRPr="00F94E53">
        <w:rPr>
          <w:rFonts w:ascii="Arial" w:hAnsi="Arial" w:cs="Arial"/>
          <w:i/>
        </w:rPr>
        <w:t>”</w:t>
      </w:r>
    </w:p>
    <w:p w:rsidR="00BC0DF3" w:rsidRPr="000139E8" w:rsidRDefault="00BC0DF3" w:rsidP="00F94E53">
      <w:pPr>
        <w:rPr>
          <w:rFonts w:cs="Arial"/>
          <w:szCs w:val="24"/>
        </w:rPr>
      </w:pPr>
    </w:p>
    <w:p w:rsidR="00BC0DF3" w:rsidRPr="00F94E53" w:rsidRDefault="00E9766E" w:rsidP="00F94E53">
      <w:pPr>
        <w:autoSpaceDE w:val="0"/>
        <w:autoSpaceDN w:val="0"/>
        <w:adjustRightInd w:val="0"/>
        <w:spacing w:after="0" w:line="240" w:lineRule="auto"/>
        <w:rPr>
          <w:rFonts w:cs="Arial"/>
          <w:b/>
          <w:szCs w:val="24"/>
        </w:rPr>
      </w:pPr>
      <w:r w:rsidRPr="00F94E53">
        <w:rPr>
          <w:rFonts w:cs="Arial"/>
          <w:b/>
          <w:szCs w:val="24"/>
        </w:rPr>
        <w:t>Guidelines for Reporting</w:t>
      </w:r>
    </w:p>
    <w:p w:rsidR="00E9766E" w:rsidRDefault="00E9766E" w:rsidP="00F94E53">
      <w:pPr>
        <w:autoSpaceDE w:val="0"/>
        <w:autoSpaceDN w:val="0"/>
        <w:adjustRightInd w:val="0"/>
        <w:spacing w:after="0" w:line="240" w:lineRule="auto"/>
        <w:rPr>
          <w:rFonts w:cs="Arial"/>
          <w:b/>
          <w:sz w:val="22"/>
        </w:rPr>
      </w:pPr>
    </w:p>
    <w:p w:rsidR="0091243C" w:rsidRDefault="00E9766E" w:rsidP="00F94E53">
      <w:pPr>
        <w:rPr>
          <w:rFonts w:cs="Arial"/>
          <w:sz w:val="22"/>
        </w:rPr>
      </w:pPr>
      <w:r w:rsidRPr="00BB400F">
        <w:rPr>
          <w:rFonts w:cs="Arial"/>
          <w:sz w:val="22"/>
        </w:rPr>
        <w:t>Common themes for reporting under these categories are</w:t>
      </w:r>
      <w:r w:rsidR="0091243C">
        <w:rPr>
          <w:rFonts w:cs="Arial"/>
          <w:sz w:val="22"/>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E9766E" w:rsidRPr="00F94E53" w:rsidTr="00F94E53">
        <w:tc>
          <w:tcPr>
            <w:tcW w:w="2410" w:type="dxa"/>
            <w:shd w:val="clear" w:color="auto" w:fill="auto"/>
          </w:tcPr>
          <w:p w:rsidR="00E9766E" w:rsidRPr="00F94E53" w:rsidRDefault="00E9766E" w:rsidP="00F94E53">
            <w:pPr>
              <w:rPr>
                <w:rFonts w:eastAsia="Calibri"/>
                <w:b/>
              </w:rPr>
            </w:pPr>
            <w:r w:rsidRPr="00F94E53">
              <w:rPr>
                <w:rFonts w:cs="Arial"/>
                <w:b/>
                <w:sz w:val="22"/>
              </w:rPr>
              <w:t xml:space="preserve"> </w:t>
            </w:r>
            <w:r w:rsidRPr="00F94E53">
              <w:rPr>
                <w:rFonts w:eastAsia="Calibri"/>
                <w:b/>
              </w:rPr>
              <w:t>Section 31(5) :</w:t>
            </w:r>
          </w:p>
        </w:tc>
        <w:tc>
          <w:tcPr>
            <w:tcW w:w="7088" w:type="dxa"/>
            <w:shd w:val="clear" w:color="auto" w:fill="auto"/>
          </w:tcPr>
          <w:p w:rsidR="00E9766E" w:rsidRPr="00F94E53" w:rsidRDefault="00E9766E" w:rsidP="00F94E53">
            <w:pPr>
              <w:spacing w:after="120"/>
              <w:rPr>
                <w:rFonts w:eastAsia="Calibri"/>
                <w:b/>
              </w:rPr>
            </w:pPr>
            <w:r w:rsidRPr="00F94E53">
              <w:rPr>
                <w:rFonts w:eastAsia="Calibri"/>
                <w:b/>
              </w:rPr>
              <w:t>Examples:</w:t>
            </w:r>
          </w:p>
          <w:p w:rsidR="00C057E1" w:rsidRPr="00F94E53" w:rsidRDefault="00C057E1" w:rsidP="00F94E53">
            <w:pPr>
              <w:rPr>
                <w:rFonts w:eastAsia="Calibri"/>
                <w:b/>
                <w:sz w:val="18"/>
                <w:szCs w:val="18"/>
              </w:rPr>
            </w:pPr>
            <w:r w:rsidRPr="00F94E53">
              <w:rPr>
                <w:rFonts w:eastAsia="Calibri"/>
                <w:b/>
                <w:sz w:val="18"/>
                <w:szCs w:val="18"/>
                <w:u w:val="single"/>
              </w:rPr>
              <w:t>Note:</w:t>
            </w:r>
            <w:r w:rsidRPr="00F94E53">
              <w:rPr>
                <w:rFonts w:cs="Arial"/>
                <w:b/>
                <w:sz w:val="18"/>
                <w:szCs w:val="18"/>
              </w:rPr>
              <w:t xml:space="preserve"> </w:t>
            </w:r>
            <w:r w:rsidRPr="00F94E53">
              <w:rPr>
                <w:rFonts w:eastAsia="Calibri"/>
                <w:b/>
                <w:sz w:val="18"/>
                <w:szCs w:val="18"/>
              </w:rPr>
              <w:t>These do not cover every reportable event under section 31(5)</w:t>
            </w:r>
            <w:r w:rsidR="00F94E53" w:rsidRPr="00F94E53">
              <w:rPr>
                <w:rFonts w:eastAsia="Calibri"/>
                <w:b/>
                <w:sz w:val="18"/>
                <w:szCs w:val="18"/>
              </w:rPr>
              <w:t>,</w:t>
            </w:r>
            <w:r w:rsidRPr="00F94E53">
              <w:rPr>
                <w:rFonts w:eastAsia="Calibri"/>
                <w:b/>
                <w:sz w:val="18"/>
                <w:szCs w:val="18"/>
              </w:rPr>
              <w:t xml:space="preserve"> and those reporting must use their discretion when assessing what must be reported.</w:t>
            </w:r>
          </w:p>
        </w:tc>
      </w:tr>
      <w:tr w:rsidR="00E9766E" w:rsidRPr="00BB400F" w:rsidTr="00F94E53">
        <w:trPr>
          <w:trHeight w:val="2011"/>
        </w:trPr>
        <w:tc>
          <w:tcPr>
            <w:tcW w:w="2410" w:type="dxa"/>
            <w:shd w:val="clear" w:color="auto" w:fill="auto"/>
          </w:tcPr>
          <w:p w:rsidR="00F94E53" w:rsidRDefault="00130A20" w:rsidP="00F94E53">
            <w:pPr>
              <w:spacing w:after="0"/>
              <w:rPr>
                <w:rFonts w:eastAsia="Calibri"/>
                <w:sz w:val="22"/>
              </w:rPr>
            </w:pPr>
            <w:r>
              <w:rPr>
                <w:rFonts w:eastAsia="Calibri"/>
                <w:sz w:val="22"/>
              </w:rPr>
              <w:t xml:space="preserve">Subsection (a) </w:t>
            </w:r>
          </w:p>
          <w:p w:rsidR="00E9766E" w:rsidRPr="00BB400F" w:rsidRDefault="00E9766E" w:rsidP="00F94E53">
            <w:pPr>
              <w:rPr>
                <w:rFonts w:eastAsia="Calibri"/>
                <w:sz w:val="22"/>
              </w:rPr>
            </w:pPr>
            <w:r w:rsidRPr="00BB400F">
              <w:rPr>
                <w:rFonts w:eastAsia="Calibri"/>
                <w:sz w:val="22"/>
              </w:rPr>
              <w:t>Health &amp; Safety</w:t>
            </w:r>
          </w:p>
        </w:tc>
        <w:tc>
          <w:tcPr>
            <w:tcW w:w="7088" w:type="dxa"/>
            <w:shd w:val="clear" w:color="auto" w:fill="auto"/>
          </w:tcPr>
          <w:p w:rsidR="00A4684B" w:rsidRPr="00F94E53" w:rsidRDefault="0091243C" w:rsidP="00251DF8">
            <w:pPr>
              <w:pStyle w:val="ListParagraph"/>
              <w:numPr>
                <w:ilvl w:val="0"/>
                <w:numId w:val="4"/>
              </w:numPr>
              <w:spacing w:after="240"/>
              <w:ind w:left="357" w:hanging="357"/>
              <w:contextualSpacing w:val="0"/>
              <w:rPr>
                <w:rFonts w:eastAsia="Calibri"/>
                <w:sz w:val="22"/>
              </w:rPr>
            </w:pPr>
            <w:r w:rsidRPr="00F94E53">
              <w:rPr>
                <w:rFonts w:eastAsia="Calibri"/>
                <w:sz w:val="22"/>
              </w:rPr>
              <w:t>E</w:t>
            </w:r>
            <w:r w:rsidR="00E9766E" w:rsidRPr="00F94E53">
              <w:rPr>
                <w:rFonts w:eastAsia="Calibri"/>
                <w:sz w:val="22"/>
              </w:rPr>
              <w:t>vacuations</w:t>
            </w:r>
            <w:r w:rsidRPr="00F94E53">
              <w:rPr>
                <w:rFonts w:eastAsia="Calibri"/>
                <w:sz w:val="22"/>
              </w:rPr>
              <w:t xml:space="preserve"> </w:t>
            </w:r>
          </w:p>
          <w:p w:rsidR="0091243C" w:rsidRPr="00F94E53" w:rsidRDefault="0091243C" w:rsidP="00251DF8">
            <w:pPr>
              <w:pStyle w:val="ListParagraph"/>
              <w:numPr>
                <w:ilvl w:val="0"/>
                <w:numId w:val="4"/>
              </w:numPr>
              <w:spacing w:after="240"/>
              <w:ind w:left="357" w:hanging="357"/>
              <w:contextualSpacing w:val="0"/>
              <w:rPr>
                <w:rFonts w:eastAsia="Calibri"/>
                <w:sz w:val="22"/>
              </w:rPr>
            </w:pPr>
            <w:r w:rsidRPr="00F94E53">
              <w:rPr>
                <w:rFonts w:eastAsia="Calibri"/>
                <w:sz w:val="22"/>
              </w:rPr>
              <w:t>Fire</w:t>
            </w:r>
          </w:p>
          <w:p w:rsidR="0091243C" w:rsidRPr="00F94E53" w:rsidRDefault="0091243C" w:rsidP="00251DF8">
            <w:pPr>
              <w:pStyle w:val="ListParagraph"/>
              <w:numPr>
                <w:ilvl w:val="0"/>
                <w:numId w:val="4"/>
              </w:numPr>
              <w:spacing w:after="240"/>
              <w:ind w:left="357" w:hanging="357"/>
              <w:contextualSpacing w:val="0"/>
              <w:rPr>
                <w:rFonts w:eastAsia="Calibri"/>
                <w:sz w:val="22"/>
              </w:rPr>
            </w:pPr>
            <w:r w:rsidRPr="00F94E53">
              <w:rPr>
                <w:rFonts w:eastAsia="Calibri"/>
                <w:sz w:val="22"/>
              </w:rPr>
              <w:t>Natural Disaster</w:t>
            </w:r>
          </w:p>
          <w:p w:rsidR="00A4684B" w:rsidRPr="00F94E53" w:rsidRDefault="00A4684B" w:rsidP="00251DF8">
            <w:pPr>
              <w:pStyle w:val="ListParagraph"/>
              <w:numPr>
                <w:ilvl w:val="0"/>
                <w:numId w:val="4"/>
              </w:numPr>
              <w:spacing w:after="240"/>
              <w:ind w:left="357" w:hanging="357"/>
              <w:contextualSpacing w:val="0"/>
              <w:rPr>
                <w:rFonts w:eastAsia="Calibri"/>
                <w:sz w:val="22"/>
              </w:rPr>
            </w:pPr>
            <w:r w:rsidRPr="00F94E53">
              <w:rPr>
                <w:rFonts w:eastAsia="Calibri"/>
                <w:sz w:val="22"/>
              </w:rPr>
              <w:t>Flood</w:t>
            </w:r>
          </w:p>
          <w:p w:rsidR="00A4684B" w:rsidRPr="00F94E53" w:rsidRDefault="0091243C" w:rsidP="00F94E53">
            <w:pPr>
              <w:pStyle w:val="ListParagraph"/>
              <w:numPr>
                <w:ilvl w:val="0"/>
                <w:numId w:val="4"/>
              </w:numPr>
              <w:rPr>
                <w:rFonts w:eastAsia="Calibri"/>
                <w:sz w:val="22"/>
              </w:rPr>
            </w:pPr>
            <w:r w:rsidRPr="00F94E53">
              <w:rPr>
                <w:rFonts w:eastAsia="Calibri"/>
                <w:sz w:val="22"/>
              </w:rPr>
              <w:t>Equipment failure which puts at risk</w:t>
            </w:r>
            <w:r w:rsidR="00A4684B" w:rsidRPr="00F94E53">
              <w:rPr>
                <w:rFonts w:eastAsia="Calibri"/>
                <w:sz w:val="22"/>
              </w:rPr>
              <w:t>;</w:t>
            </w:r>
          </w:p>
          <w:p w:rsidR="00E9766E" w:rsidRDefault="0091243C" w:rsidP="00F94E53">
            <w:pPr>
              <w:pStyle w:val="ListParagraph"/>
              <w:numPr>
                <w:ilvl w:val="0"/>
                <w:numId w:val="2"/>
              </w:numPr>
              <w:rPr>
                <w:rFonts w:eastAsia="Calibri"/>
                <w:sz w:val="22"/>
              </w:rPr>
            </w:pPr>
            <w:r w:rsidRPr="00A4684B">
              <w:rPr>
                <w:rFonts w:eastAsia="Calibri"/>
                <w:sz w:val="22"/>
              </w:rPr>
              <w:t>health or safety of residents</w:t>
            </w:r>
          </w:p>
          <w:p w:rsidR="00A4684B" w:rsidRPr="00A4684B" w:rsidRDefault="00A4684B" w:rsidP="00F94E53">
            <w:pPr>
              <w:pStyle w:val="ListParagraph"/>
              <w:numPr>
                <w:ilvl w:val="0"/>
                <w:numId w:val="2"/>
              </w:numPr>
              <w:rPr>
                <w:rFonts w:eastAsia="Calibri"/>
                <w:sz w:val="22"/>
              </w:rPr>
            </w:pPr>
            <w:r>
              <w:rPr>
                <w:rFonts w:eastAsia="Calibri"/>
                <w:sz w:val="22"/>
              </w:rPr>
              <w:t>communication systems</w:t>
            </w:r>
          </w:p>
        </w:tc>
      </w:tr>
      <w:tr w:rsidR="00E9766E" w:rsidRPr="00BB400F" w:rsidTr="00F94E53">
        <w:tc>
          <w:tcPr>
            <w:tcW w:w="2410" w:type="dxa"/>
            <w:shd w:val="clear" w:color="auto" w:fill="auto"/>
          </w:tcPr>
          <w:p w:rsidR="00F94E53" w:rsidRDefault="00130A20" w:rsidP="00F94E53">
            <w:pPr>
              <w:spacing w:after="0" w:line="240" w:lineRule="auto"/>
              <w:rPr>
                <w:rFonts w:eastAsia="Calibri"/>
                <w:sz w:val="22"/>
              </w:rPr>
            </w:pPr>
            <w:r>
              <w:rPr>
                <w:rFonts w:eastAsia="Calibri"/>
                <w:sz w:val="22"/>
              </w:rPr>
              <w:t xml:space="preserve">Subsection (b) </w:t>
            </w:r>
          </w:p>
          <w:p w:rsidR="00E9766E" w:rsidRPr="00BB400F" w:rsidRDefault="00E9766E" w:rsidP="00F94E53">
            <w:pPr>
              <w:spacing w:after="0" w:line="240" w:lineRule="auto"/>
              <w:rPr>
                <w:rFonts w:eastAsia="Calibri"/>
                <w:sz w:val="22"/>
              </w:rPr>
            </w:pPr>
            <w:r w:rsidRPr="00BB400F">
              <w:rPr>
                <w:rFonts w:eastAsia="Calibri"/>
                <w:sz w:val="22"/>
              </w:rPr>
              <w:t>Police investigation</w:t>
            </w:r>
            <w:r w:rsidR="00A4684B">
              <w:rPr>
                <w:rFonts w:eastAsia="Calibri"/>
                <w:sz w:val="22"/>
              </w:rPr>
              <w:t xml:space="preserve"> </w:t>
            </w:r>
            <w:r w:rsidR="00A4684B" w:rsidRPr="00F94E53">
              <w:rPr>
                <w:rFonts w:eastAsia="Calibri"/>
                <w:sz w:val="22"/>
              </w:rPr>
              <w:t>commenced</w:t>
            </w:r>
            <w:r w:rsidR="00A4684B">
              <w:rPr>
                <w:rFonts w:eastAsia="Calibri"/>
                <w:sz w:val="22"/>
              </w:rPr>
              <w:t xml:space="preserve"> by a constable</w:t>
            </w:r>
          </w:p>
        </w:tc>
        <w:tc>
          <w:tcPr>
            <w:tcW w:w="7088" w:type="dxa"/>
            <w:shd w:val="clear" w:color="auto" w:fill="auto"/>
          </w:tcPr>
          <w:p w:rsidR="00E9766E" w:rsidRPr="00F94E53" w:rsidRDefault="00E9766E" w:rsidP="00251DF8">
            <w:pPr>
              <w:pStyle w:val="ListParagraph"/>
              <w:numPr>
                <w:ilvl w:val="0"/>
                <w:numId w:val="3"/>
              </w:numPr>
              <w:spacing w:after="240"/>
              <w:ind w:left="357" w:hanging="357"/>
              <w:contextualSpacing w:val="0"/>
              <w:rPr>
                <w:rFonts w:eastAsia="Calibri"/>
                <w:sz w:val="22"/>
              </w:rPr>
            </w:pPr>
            <w:r w:rsidRPr="00F94E53">
              <w:rPr>
                <w:rFonts w:eastAsia="Calibri"/>
                <w:sz w:val="22"/>
              </w:rPr>
              <w:t>Intruders/trespassers</w:t>
            </w:r>
            <w:r w:rsidR="00F94E53" w:rsidRPr="00F94E53">
              <w:rPr>
                <w:rFonts w:eastAsia="Calibri"/>
                <w:sz w:val="22"/>
              </w:rPr>
              <w:t>/</w:t>
            </w:r>
            <w:r w:rsidRPr="00F94E53">
              <w:rPr>
                <w:rFonts w:eastAsia="Calibri"/>
                <w:sz w:val="22"/>
              </w:rPr>
              <w:t>harassment</w:t>
            </w:r>
          </w:p>
          <w:p w:rsidR="00E9766E" w:rsidRPr="00251DF8" w:rsidRDefault="00E9766E" w:rsidP="00251DF8">
            <w:pPr>
              <w:pStyle w:val="ListParagraph"/>
              <w:numPr>
                <w:ilvl w:val="0"/>
                <w:numId w:val="3"/>
              </w:numPr>
              <w:spacing w:after="240"/>
              <w:ind w:left="357" w:hanging="357"/>
              <w:contextualSpacing w:val="0"/>
              <w:rPr>
                <w:rFonts w:eastAsia="Calibri"/>
                <w:sz w:val="22"/>
              </w:rPr>
            </w:pPr>
            <w:r w:rsidRPr="00251DF8">
              <w:rPr>
                <w:rFonts w:eastAsia="Calibri"/>
                <w:sz w:val="22"/>
              </w:rPr>
              <w:t>Assault</w:t>
            </w:r>
          </w:p>
          <w:p w:rsidR="00E9766E" w:rsidRPr="00251DF8" w:rsidRDefault="00E9766E" w:rsidP="00251DF8">
            <w:pPr>
              <w:pStyle w:val="ListParagraph"/>
              <w:numPr>
                <w:ilvl w:val="0"/>
                <w:numId w:val="3"/>
              </w:numPr>
              <w:spacing w:after="240"/>
              <w:ind w:left="357" w:hanging="357"/>
              <w:contextualSpacing w:val="0"/>
              <w:rPr>
                <w:rFonts w:eastAsia="Calibri"/>
                <w:sz w:val="22"/>
              </w:rPr>
            </w:pPr>
            <w:r w:rsidRPr="00251DF8">
              <w:rPr>
                <w:rFonts w:eastAsia="Calibri"/>
                <w:sz w:val="22"/>
              </w:rPr>
              <w:t>Missing medication</w:t>
            </w:r>
          </w:p>
          <w:p w:rsidR="00E9766E" w:rsidRPr="00251DF8" w:rsidRDefault="00E9766E" w:rsidP="00251DF8">
            <w:pPr>
              <w:pStyle w:val="ListParagraph"/>
              <w:numPr>
                <w:ilvl w:val="0"/>
                <w:numId w:val="3"/>
              </w:numPr>
              <w:spacing w:after="240"/>
              <w:ind w:left="357" w:hanging="357"/>
              <w:contextualSpacing w:val="0"/>
              <w:rPr>
                <w:rFonts w:eastAsia="Calibri"/>
                <w:sz w:val="22"/>
              </w:rPr>
            </w:pPr>
            <w:r w:rsidRPr="00251DF8">
              <w:rPr>
                <w:rFonts w:eastAsia="Calibri"/>
                <w:sz w:val="22"/>
              </w:rPr>
              <w:t>Theft</w:t>
            </w:r>
          </w:p>
          <w:p w:rsidR="00E9766E" w:rsidRPr="00251DF8" w:rsidRDefault="00E9766E" w:rsidP="00251DF8">
            <w:pPr>
              <w:pStyle w:val="ListParagraph"/>
              <w:numPr>
                <w:ilvl w:val="0"/>
                <w:numId w:val="3"/>
              </w:numPr>
              <w:spacing w:after="240"/>
              <w:ind w:left="357" w:hanging="357"/>
              <w:contextualSpacing w:val="0"/>
              <w:rPr>
                <w:rFonts w:eastAsia="Calibri"/>
                <w:sz w:val="22"/>
              </w:rPr>
            </w:pPr>
            <w:r w:rsidRPr="00251DF8">
              <w:rPr>
                <w:rFonts w:eastAsia="Calibri"/>
                <w:sz w:val="22"/>
              </w:rPr>
              <w:t xml:space="preserve">Missing residents </w:t>
            </w:r>
          </w:p>
          <w:p w:rsidR="00A4684B" w:rsidRPr="00251DF8" w:rsidRDefault="00E9766E" w:rsidP="00251DF8">
            <w:pPr>
              <w:pStyle w:val="ListParagraph"/>
              <w:numPr>
                <w:ilvl w:val="0"/>
                <w:numId w:val="3"/>
              </w:numPr>
              <w:rPr>
                <w:rFonts w:eastAsia="Calibri"/>
                <w:sz w:val="22"/>
              </w:rPr>
            </w:pPr>
            <w:r w:rsidRPr="00251DF8">
              <w:rPr>
                <w:rFonts w:eastAsia="Calibri"/>
                <w:sz w:val="22"/>
              </w:rPr>
              <w:t>Suspicious Deaths</w:t>
            </w:r>
          </w:p>
        </w:tc>
      </w:tr>
      <w:tr w:rsidR="00E9766E" w:rsidRPr="00BB400F" w:rsidTr="00F94E53">
        <w:tc>
          <w:tcPr>
            <w:tcW w:w="2410" w:type="dxa"/>
            <w:shd w:val="clear" w:color="auto" w:fill="auto"/>
          </w:tcPr>
          <w:p w:rsidR="00E9766E" w:rsidRPr="00BB400F" w:rsidRDefault="00130A20" w:rsidP="00F94E53">
            <w:pPr>
              <w:spacing w:after="0" w:line="240" w:lineRule="auto"/>
              <w:rPr>
                <w:rFonts w:eastAsia="Calibri"/>
                <w:sz w:val="22"/>
              </w:rPr>
            </w:pPr>
            <w:r>
              <w:rPr>
                <w:rFonts w:eastAsia="Calibri"/>
                <w:sz w:val="22"/>
              </w:rPr>
              <w:t xml:space="preserve">Subsection (c) </w:t>
            </w:r>
            <w:r w:rsidR="00E9766E" w:rsidRPr="00BB400F">
              <w:rPr>
                <w:rFonts w:eastAsia="Calibri"/>
                <w:sz w:val="22"/>
              </w:rPr>
              <w:t>Coroner’s report</w:t>
            </w:r>
          </w:p>
        </w:tc>
        <w:tc>
          <w:tcPr>
            <w:tcW w:w="7088" w:type="dxa"/>
            <w:shd w:val="clear" w:color="auto" w:fill="auto"/>
          </w:tcPr>
          <w:p w:rsidR="00E9766E" w:rsidRPr="00251DF8" w:rsidRDefault="00E9766E" w:rsidP="00251DF8">
            <w:pPr>
              <w:pStyle w:val="ListParagraph"/>
              <w:numPr>
                <w:ilvl w:val="0"/>
                <w:numId w:val="5"/>
              </w:numPr>
              <w:spacing w:after="240" w:line="240" w:lineRule="auto"/>
              <w:ind w:left="357" w:hanging="357"/>
              <w:contextualSpacing w:val="0"/>
              <w:rPr>
                <w:rFonts w:eastAsia="Calibri"/>
                <w:sz w:val="22"/>
              </w:rPr>
            </w:pPr>
            <w:r w:rsidRPr="00251DF8">
              <w:rPr>
                <w:rFonts w:eastAsia="Calibri"/>
                <w:sz w:val="22"/>
              </w:rPr>
              <w:t>Sudden Deaths</w:t>
            </w:r>
          </w:p>
          <w:p w:rsidR="00E9766E" w:rsidRPr="00251DF8" w:rsidRDefault="00E9766E" w:rsidP="00251DF8">
            <w:pPr>
              <w:pStyle w:val="ListParagraph"/>
              <w:numPr>
                <w:ilvl w:val="0"/>
                <w:numId w:val="5"/>
              </w:numPr>
              <w:spacing w:after="240" w:line="240" w:lineRule="auto"/>
              <w:ind w:left="357" w:hanging="357"/>
              <w:contextualSpacing w:val="0"/>
              <w:rPr>
                <w:rFonts w:eastAsia="Calibri"/>
                <w:sz w:val="22"/>
              </w:rPr>
            </w:pPr>
            <w:r w:rsidRPr="00251DF8">
              <w:rPr>
                <w:rFonts w:eastAsia="Calibri"/>
                <w:sz w:val="22"/>
              </w:rPr>
              <w:t>Death certificate unsigned</w:t>
            </w:r>
          </w:p>
          <w:p w:rsidR="00A4684B" w:rsidRPr="00251DF8" w:rsidRDefault="0091243C" w:rsidP="00251DF8">
            <w:pPr>
              <w:pStyle w:val="ListParagraph"/>
              <w:numPr>
                <w:ilvl w:val="0"/>
                <w:numId w:val="5"/>
              </w:numPr>
              <w:rPr>
                <w:rFonts w:eastAsia="Calibri"/>
                <w:sz w:val="22"/>
              </w:rPr>
            </w:pPr>
            <w:r w:rsidRPr="00251DF8">
              <w:rPr>
                <w:rFonts w:eastAsia="Calibri"/>
                <w:sz w:val="22"/>
              </w:rPr>
              <w:t xml:space="preserve">Death of a resident who is under a </w:t>
            </w:r>
            <w:r w:rsidR="00275974" w:rsidRPr="00251DF8">
              <w:rPr>
                <w:rFonts w:eastAsia="Calibri"/>
                <w:sz w:val="22"/>
              </w:rPr>
              <w:t xml:space="preserve">Compulsory </w:t>
            </w:r>
            <w:r w:rsidR="00F94E53" w:rsidRPr="00251DF8">
              <w:rPr>
                <w:rFonts w:eastAsia="Calibri"/>
                <w:sz w:val="22"/>
              </w:rPr>
              <w:t>Treatment Order (Mental Health)</w:t>
            </w:r>
          </w:p>
        </w:tc>
      </w:tr>
    </w:tbl>
    <w:p w:rsidR="00E9766E" w:rsidRPr="00E9766E" w:rsidRDefault="00E9766E" w:rsidP="00F94E53">
      <w:pPr>
        <w:autoSpaceDE w:val="0"/>
        <w:autoSpaceDN w:val="0"/>
        <w:adjustRightInd w:val="0"/>
        <w:spacing w:after="0" w:line="240" w:lineRule="auto"/>
        <w:rPr>
          <w:rFonts w:cs="Arial"/>
          <w:b/>
          <w:sz w:val="22"/>
        </w:rPr>
      </w:pPr>
    </w:p>
    <w:sectPr w:rsidR="00E9766E" w:rsidRPr="00E9766E" w:rsidSect="003268E1">
      <w:headerReference w:type="default" r:id="rId8"/>
      <w:footerReference w:type="default" r:id="rId9"/>
      <w:pgSz w:w="11906" w:h="16838" w:code="9"/>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38" w:rsidRDefault="00D13D38" w:rsidP="00E9766E">
      <w:pPr>
        <w:spacing w:after="0" w:line="240" w:lineRule="auto"/>
      </w:pPr>
      <w:r>
        <w:separator/>
      </w:r>
    </w:p>
  </w:endnote>
  <w:endnote w:type="continuationSeparator" w:id="0">
    <w:p w:rsidR="00D13D38" w:rsidRDefault="00D13D38" w:rsidP="00E9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448089"/>
      <w:docPartObj>
        <w:docPartGallery w:val="Page Numbers (Bottom of Page)"/>
        <w:docPartUnique/>
      </w:docPartObj>
    </w:sdtPr>
    <w:sdtEndPr>
      <w:rPr>
        <w:noProof/>
      </w:rPr>
    </w:sdtEndPr>
    <w:sdtContent>
      <w:p w:rsidR="00360B54" w:rsidRDefault="00360B54">
        <w:pPr>
          <w:pStyle w:val="Footer"/>
          <w:jc w:val="right"/>
        </w:pPr>
        <w:r>
          <w:fldChar w:fldCharType="begin"/>
        </w:r>
        <w:r>
          <w:instrText xml:space="preserve"> PAGE   \* MERGEFORMAT </w:instrText>
        </w:r>
        <w:r>
          <w:fldChar w:fldCharType="separate"/>
        </w:r>
        <w:r w:rsidR="0054093F">
          <w:rPr>
            <w:noProof/>
          </w:rPr>
          <w:t>2</w:t>
        </w:r>
        <w:r>
          <w:rPr>
            <w:noProof/>
          </w:rPr>
          <w:fldChar w:fldCharType="end"/>
        </w:r>
      </w:p>
    </w:sdtContent>
  </w:sdt>
  <w:p w:rsidR="00360B54" w:rsidRDefault="0036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38" w:rsidRDefault="00D13D38" w:rsidP="00E9766E">
      <w:pPr>
        <w:spacing w:after="0" w:line="240" w:lineRule="auto"/>
      </w:pPr>
      <w:r>
        <w:separator/>
      </w:r>
    </w:p>
  </w:footnote>
  <w:footnote w:type="continuationSeparator" w:id="0">
    <w:p w:rsidR="00D13D38" w:rsidRDefault="00D13D38" w:rsidP="00E97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E1" w:rsidRPr="003268E1" w:rsidRDefault="003268E1" w:rsidP="003268E1">
    <w:pPr>
      <w:spacing w:after="0" w:line="240" w:lineRule="auto"/>
      <w:jc w:val="right"/>
      <w:rPr>
        <w:rFonts w:ascii="Times New Roman" w:eastAsia="Times New Roman" w:hAnsi="Times New Roman" w:cs="Times New Roman"/>
        <w:szCs w:val="24"/>
        <w:lang w:val="en-GB" w:eastAsia="en-GB"/>
      </w:rPr>
    </w:pPr>
    <w:r>
      <w:rPr>
        <w:rFonts w:eastAsia="Times New Roman" w:cs="Arial"/>
        <w:b/>
        <w:noProof/>
        <w:color w:val="000000"/>
        <w:sz w:val="32"/>
        <w:szCs w:val="24"/>
        <w:lang w:eastAsia="en-NZ"/>
      </w:rPr>
      <w:drawing>
        <wp:inline distT="0" distB="0" distL="0" distR="0" wp14:anchorId="1EDF7E19" wp14:editId="7EF541EC">
          <wp:extent cx="1149350" cy="528701"/>
          <wp:effectExtent l="0" t="0" r="0" b="5080"/>
          <wp:docPr id="1" name="Picture 1"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528701"/>
                  </a:xfrm>
                  <a:prstGeom prst="rect">
                    <a:avLst/>
                  </a:prstGeom>
                  <a:noFill/>
                  <a:ln>
                    <a:noFill/>
                  </a:ln>
                </pic:spPr>
              </pic:pic>
            </a:graphicData>
          </a:graphic>
        </wp:inline>
      </w:drawing>
    </w:r>
  </w:p>
  <w:p w:rsidR="00E9766E" w:rsidRDefault="00E976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64A"/>
    <w:multiLevelType w:val="hybridMultilevel"/>
    <w:tmpl w:val="0AA25794"/>
    <w:lvl w:ilvl="0" w:tplc="C7FEE662">
      <w:start w:val="3"/>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B9531CA"/>
    <w:multiLevelType w:val="hybridMultilevel"/>
    <w:tmpl w:val="4240F7F6"/>
    <w:lvl w:ilvl="0" w:tplc="C7FEE662">
      <w:start w:val="3"/>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1595E46"/>
    <w:multiLevelType w:val="hybridMultilevel"/>
    <w:tmpl w:val="139A4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AEA0F26"/>
    <w:multiLevelType w:val="hybridMultilevel"/>
    <w:tmpl w:val="5A0E4FB8"/>
    <w:lvl w:ilvl="0" w:tplc="C7FEE662">
      <w:start w:val="3"/>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7DED2E23"/>
    <w:multiLevelType w:val="hybridMultilevel"/>
    <w:tmpl w:val="7180A86E"/>
    <w:lvl w:ilvl="0" w:tplc="1409000B">
      <w:start w:val="1"/>
      <w:numFmt w:val="bullet"/>
      <w:lvlText w:val=""/>
      <w:lvlJc w:val="left"/>
      <w:pPr>
        <w:ind w:left="783" w:hanging="360"/>
      </w:pPr>
      <w:rPr>
        <w:rFonts w:ascii="Wingdings" w:hAnsi="Wingdings"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F3"/>
    <w:rsid w:val="000139E8"/>
    <w:rsid w:val="00094FD7"/>
    <w:rsid w:val="00107D07"/>
    <w:rsid w:val="00130A20"/>
    <w:rsid w:val="00195D9A"/>
    <w:rsid w:val="00251DF8"/>
    <w:rsid w:val="00275974"/>
    <w:rsid w:val="003268E1"/>
    <w:rsid w:val="00360B54"/>
    <w:rsid w:val="00427252"/>
    <w:rsid w:val="00460FDC"/>
    <w:rsid w:val="0054093F"/>
    <w:rsid w:val="00543DD1"/>
    <w:rsid w:val="00580BF6"/>
    <w:rsid w:val="00611B80"/>
    <w:rsid w:val="00612623"/>
    <w:rsid w:val="007E7084"/>
    <w:rsid w:val="008248B2"/>
    <w:rsid w:val="0091243C"/>
    <w:rsid w:val="009138C8"/>
    <w:rsid w:val="00915882"/>
    <w:rsid w:val="00917DE1"/>
    <w:rsid w:val="00924DFA"/>
    <w:rsid w:val="009866FE"/>
    <w:rsid w:val="00A4684B"/>
    <w:rsid w:val="00AA7E28"/>
    <w:rsid w:val="00AF3065"/>
    <w:rsid w:val="00B70254"/>
    <w:rsid w:val="00BC0DF3"/>
    <w:rsid w:val="00BE5FD7"/>
    <w:rsid w:val="00C057E1"/>
    <w:rsid w:val="00D13D38"/>
    <w:rsid w:val="00D2070F"/>
    <w:rsid w:val="00D54DF0"/>
    <w:rsid w:val="00D76B70"/>
    <w:rsid w:val="00DD69A8"/>
    <w:rsid w:val="00E9766E"/>
    <w:rsid w:val="00EA56EF"/>
    <w:rsid w:val="00F73F80"/>
    <w:rsid w:val="00F94E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34B7F1-16EF-4675-97D2-D30AF88B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DF3"/>
    <w:pPr>
      <w:ind w:left="720"/>
      <w:contextualSpacing/>
    </w:pPr>
  </w:style>
  <w:style w:type="character" w:customStyle="1" w:styleId="label">
    <w:name w:val="label"/>
    <w:rsid w:val="00E9766E"/>
  </w:style>
  <w:style w:type="character" w:customStyle="1" w:styleId="spc1">
    <w:name w:val="spc1"/>
    <w:rsid w:val="00E9766E"/>
    <w:rPr>
      <w:strike w:val="0"/>
      <w:dstrike w:val="0"/>
      <w:u w:val="none"/>
      <w:effect w:val="none"/>
    </w:rPr>
  </w:style>
  <w:style w:type="paragraph" w:customStyle="1" w:styleId="labelled4">
    <w:name w:val="labelled4"/>
    <w:basedOn w:val="Normal"/>
    <w:rsid w:val="00E9766E"/>
    <w:pPr>
      <w:spacing w:after="0" w:line="288" w:lineRule="atLeast"/>
      <w:ind w:right="240"/>
    </w:pPr>
    <w:rPr>
      <w:rFonts w:ascii="Times New Roman" w:eastAsia="Times New Roman" w:hAnsi="Times New Roman" w:cs="Times New Roman"/>
      <w:color w:val="000000"/>
      <w:szCs w:val="24"/>
      <w:lang w:eastAsia="en-NZ"/>
    </w:rPr>
  </w:style>
  <w:style w:type="paragraph" w:customStyle="1" w:styleId="history-note3">
    <w:name w:val="history-note3"/>
    <w:basedOn w:val="Normal"/>
    <w:rsid w:val="00E9766E"/>
    <w:pPr>
      <w:spacing w:after="0" w:line="288" w:lineRule="atLeast"/>
    </w:pPr>
    <w:rPr>
      <w:rFonts w:ascii="Times New Roman" w:eastAsia="Times New Roman" w:hAnsi="Times New Roman" w:cs="Times New Roman"/>
      <w:color w:val="000000"/>
      <w:sz w:val="19"/>
      <w:szCs w:val="19"/>
      <w:lang w:eastAsia="en-NZ"/>
    </w:rPr>
  </w:style>
  <w:style w:type="paragraph" w:styleId="Header">
    <w:name w:val="header"/>
    <w:basedOn w:val="Normal"/>
    <w:link w:val="HeaderChar"/>
    <w:uiPriority w:val="99"/>
    <w:unhideWhenUsed/>
    <w:rsid w:val="00E97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66E"/>
  </w:style>
  <w:style w:type="paragraph" w:styleId="Footer">
    <w:name w:val="footer"/>
    <w:basedOn w:val="Normal"/>
    <w:link w:val="FooterChar"/>
    <w:uiPriority w:val="99"/>
    <w:unhideWhenUsed/>
    <w:rsid w:val="00E97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66E"/>
  </w:style>
  <w:style w:type="paragraph" w:styleId="BalloonText">
    <w:name w:val="Balloon Text"/>
    <w:basedOn w:val="Normal"/>
    <w:link w:val="BalloonTextChar"/>
    <w:uiPriority w:val="99"/>
    <w:semiHidden/>
    <w:unhideWhenUsed/>
    <w:rsid w:val="00D20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71D8-5AD1-4063-9715-A49531BD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Sue Erby</cp:lastModifiedBy>
  <cp:revision>2</cp:revision>
  <cp:lastPrinted>2013-10-20T22:42:00Z</cp:lastPrinted>
  <dcterms:created xsi:type="dcterms:W3CDTF">2017-09-12T02:27:00Z</dcterms:created>
  <dcterms:modified xsi:type="dcterms:W3CDTF">2017-09-12T02:27:00Z</dcterms:modified>
</cp:coreProperties>
</file>