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ook w:val="04A0"/>
      </w:tblPr>
      <w:tblGrid>
        <w:gridCol w:w="2203"/>
        <w:gridCol w:w="6813"/>
      </w:tblGrid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Purpose</w:t>
            </w:r>
          </w:p>
        </w:tc>
        <w:tc>
          <w:tcPr>
            <w:tcW w:type="dxa" w:w="6813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To provide a guideline for work place issues </w:t>
            </w:r>
            <w:r>
              <w:rPr>
                <w:rFonts w:ascii="Calibri" w:hAnsi="Calibri"/>
                <w:b w:val="0"/>
                <w:sz w:val="22"/>
              </w:rPr>
              <w:t>that require</w:t>
            </w:r>
            <w:r>
              <w:rPr>
                <w:rFonts w:ascii="Calibri" w:hAnsi="Calibri"/>
                <w:b w:val="0"/>
                <w:sz w:val="22"/>
              </w:rPr>
              <w:t xml:space="preserve"> processes to achieve a resolution to the identified issues.</w:t>
            </w:r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Scope</w:t>
            </w:r>
          </w:p>
        </w:tc>
        <w:tc>
          <w:tcPr>
            <w:tcW w:type="dxa" w:w="6813"/>
            <w:shd w:color="000000" w:fill="000000" w:val="clear"/>
          </w:tcPr>
          <w:p>
            <w:pPr>
              <w:pStyle w:val="Heading1"/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All staff and the Board</w:t>
            </w:r>
            <w:r>
              <w:rPr>
                <w:rFonts w:ascii="Calibri" w:hAnsi="Calibri"/>
                <w:b w:val="0"/>
                <w:sz w:val="22"/>
              </w:rPr>
              <w:t>/Directors</w:t>
            </w:r>
            <w:r>
              <w:rPr>
                <w:rFonts w:ascii="Calibri" w:hAnsi="Calibri"/>
                <w:b w:val="0"/>
                <w:sz w:val="22"/>
              </w:rPr>
              <w:t xml:space="preserve"> of </w:t>
            </w:r>
            <w:r>
              <w:rPr>
                <w:rFonts w:ascii="Calibri" w:hAnsi="Calibri"/>
                <w:b w:val="0"/>
                <w:sz w:val="22"/>
                <w:highlight w:val="lightGray"/>
              </w:rPr>
              <w:t>name of service</w:t>
            </w:r>
            <w:r>
              <w:rPr>
                <w:rFonts w:ascii="Calibri" w:hAnsi="Calibri"/>
                <w:b w:val="0"/>
                <w:sz w:val="22"/>
              </w:rPr>
              <w:t>.</w:t>
            </w:r>
            <w:r>
              <w:rPr>
                <w:rFonts w:ascii="Calibri" w:hAnsi="Calibri"/>
                <w:b w:val="0"/>
                <w:sz w:val="22"/>
              </w:rPr>
              <w:t xml:space="preserve"> Including relationships between:</w:t>
            </w:r>
          </w:p>
          <w:p>
            <w:pPr>
              <w:pStyle w:val="Heading1"/>
              <w:numPr>
                <w:ilvl w:val="0"/>
                <w:numId w:val="14"/>
              </w:numPr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Employer</w:t>
            </w:r>
            <w:r>
              <w:rPr>
                <w:rFonts w:ascii="Calibri" w:hAnsi="Calibri"/>
                <w:b w:val="0"/>
                <w:sz w:val="22"/>
              </w:rPr>
              <w:t xml:space="preserve"> and employee</w:t>
            </w:r>
            <w:r>
              <w:rPr>
                <w:rFonts w:ascii="Calibri" w:hAnsi="Calibri"/>
                <w:b w:val="0"/>
                <w:sz w:val="22"/>
              </w:rPr>
              <w:t>.</w:t>
            </w:r>
          </w:p>
          <w:p>
            <w:pPr>
              <w:pStyle w:val="Heading1"/>
              <w:numPr>
                <w:ilvl w:val="0"/>
                <w:numId w:val="14"/>
              </w:numPr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Employee</w:t>
            </w:r>
            <w:r>
              <w:rPr>
                <w:rFonts w:ascii="Calibri" w:hAnsi="Calibri"/>
                <w:b w:val="0"/>
                <w:sz w:val="22"/>
              </w:rPr>
              <w:t xml:space="preserve"> and employee</w:t>
            </w:r>
            <w:r>
              <w:rPr>
                <w:rFonts w:ascii="Calibri" w:hAnsi="Calibri"/>
                <w:b w:val="0"/>
                <w:sz w:val="22"/>
              </w:rPr>
              <w:t>.</w:t>
            </w:r>
          </w:p>
          <w:p>
            <w:pPr>
              <w:pStyle w:val="Heading1"/>
              <w:numPr>
                <w:ilvl w:val="0"/>
                <w:numId w:val="14"/>
              </w:numPr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Union</w:t>
            </w:r>
            <w:r>
              <w:rPr>
                <w:rFonts w:ascii="Calibri" w:hAnsi="Calibri"/>
                <w:b w:val="0"/>
                <w:sz w:val="22"/>
              </w:rPr>
              <w:t xml:space="preserve"> and </w:t>
            </w:r>
            <w:r>
              <w:rPr>
                <w:rFonts w:ascii="Calibri" w:hAnsi="Calibri"/>
                <w:b w:val="0"/>
                <w:sz w:val="22"/>
              </w:rPr>
              <w:t>its</w:t>
            </w:r>
            <w:r>
              <w:rPr>
                <w:rFonts w:ascii="Calibri" w:hAnsi="Calibri"/>
                <w:b w:val="0"/>
                <w:sz w:val="22"/>
              </w:rPr>
              <w:t xml:space="preserve"> members</w:t>
            </w:r>
            <w:r>
              <w:rPr>
                <w:rFonts w:ascii="Calibri" w:hAnsi="Calibri"/>
                <w:b w:val="0"/>
                <w:sz w:val="22"/>
              </w:rPr>
              <w:t>.</w:t>
            </w:r>
          </w:p>
          <w:p>
            <w:pPr>
              <w:pStyle w:val="Heading1"/>
              <w:numPr>
                <w:ilvl w:val="0"/>
                <w:numId w:val="14"/>
              </w:numPr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Union</w:t>
            </w:r>
            <w:r>
              <w:rPr>
                <w:rFonts w:ascii="Calibri" w:hAnsi="Calibri"/>
                <w:b w:val="0"/>
                <w:sz w:val="22"/>
              </w:rPr>
              <w:t xml:space="preserve"> and employer</w:t>
            </w:r>
            <w:r>
              <w:rPr>
                <w:rFonts w:ascii="Calibri" w:hAnsi="Calibri"/>
                <w:b w:val="0"/>
                <w:sz w:val="22"/>
              </w:rPr>
              <w:t>.</w:t>
            </w:r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Policy</w:t>
            </w:r>
          </w:p>
        </w:tc>
        <w:tc>
          <w:tcPr>
            <w:tcW w:type="dxa" w:w="6813"/>
            <w:shd w:color="000000" w:fill="000000" w:val="clear"/>
          </w:tcPr>
          <w:p>
            <w:pPr>
              <w:pStyle w:val="NormalWeb"/>
              <w:spacing w:after="0" w:before="0"/>
              <w:rPr>
                <w:rStyle w:val="Normal"/>
                <w:rFonts w:ascii="Calibri" w:hAnsi="Calibri"/>
                <w:sz w:val="28"/>
                <w:lang w:bidi="ar_SA" w:eastAsia="en_NZ" w:val="en_NZ"/>
              </w:rPr>
            </w:pPr>
            <w:r>
              <w:rPr>
                <w:rFonts w:ascii="Calibri" w:hAnsi="Calibri"/>
                <w:sz w:val="22"/>
                <w:highlight w:val="lightGray"/>
              </w:rPr>
              <w:t>n</w:t>
            </w:r>
            <w:r>
              <w:rPr>
                <w:rFonts w:ascii="Calibri" w:hAnsi="Calibri"/>
                <w:sz w:val="22"/>
                <w:highlight w:val="lightGray"/>
              </w:rPr>
              <w:t>ame of service</w:t>
            </w:r>
            <w:r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commits to respond promptly to work place issues. Employees will be made aware of the processes stated in this document. </w:t>
            </w:r>
            <w:r>
              <w:rPr>
                <w:rFonts w:ascii="Calibri" w:hAnsi="Calibri"/>
                <w:sz w:val="22"/>
              </w:rPr>
              <w:t>Everyone in the workplace should understand what is expected of them</w:t>
            </w:r>
            <w:r>
              <w:rPr>
                <w:rFonts w:ascii="Calibri" w:hAnsi="Calibri"/>
                <w:sz w:val="22"/>
              </w:rPr>
              <w:t xml:space="preserve"> by having </w:t>
            </w:r>
            <w:r>
              <w:rPr>
                <w:rFonts w:ascii="Calibri" w:hAnsi="Calibri"/>
                <w:sz w:val="22"/>
              </w:rPr>
              <w:t>current position</w:t>
            </w:r>
            <w:r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descriptions</w:t>
            </w:r>
            <w:r>
              <w:rPr>
                <w:rFonts w:ascii="Calibri" w:hAnsi="Calibri"/>
                <w:sz w:val="22"/>
              </w:rPr>
              <w:t>, employee contracts</w:t>
            </w:r>
            <w:r>
              <w:rPr>
                <w:rFonts w:ascii="Calibri" w:hAnsi="Calibri"/>
                <w:sz w:val="22"/>
              </w:rPr>
              <w:t xml:space="preserve"> and</w:t>
            </w:r>
            <w:r>
              <w:rPr>
                <w:rFonts w:ascii="Calibri" w:hAnsi="Calibri"/>
                <w:sz w:val="22"/>
              </w:rPr>
              <w:t xml:space="preserve"> access to the organisations policies and procedures.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</w:tc>
      </w:tr>
      <w:tr>
        <w:tc>
          <w:tcPr>
            <w:tcW w:type="dxa" w:w="9016"/>
            <w:gridSpan w:val="2"/>
            <w:shd w:color="000000" w:fill="F2F2F2" w:val="clear"/>
          </w:tcPr>
          <w:p>
            <w:pPr>
              <w:pStyle w:val="NormalWeb"/>
              <w:spacing w:after="0" w:before="0"/>
              <w:rPr>
                <w:rStyle w:val="Normal"/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1"/>
                <w:sz w:val="22"/>
              </w:rPr>
              <w:t>Definitions</w:t>
            </w:r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Employment relation issues</w:t>
            </w:r>
          </w:p>
        </w:tc>
        <w:tc>
          <w:tcPr>
            <w:tcW w:type="dxa" w:w="6813"/>
            <w:shd w:color="000000" w:fill="000000" w:val="clear"/>
          </w:tcPr>
          <w:p>
            <w:pPr>
              <w:jc w:val="left"/>
              <w:rPr>
                <w:rFonts w:ascii="FoundryMonoline-Regular" w:hAnsi="FoundryMonoline-Regular"/>
                <w:sz w:val="19"/>
                <w:lang w:bidi="ar_SA" w:eastAsia="en_NZ" w:val="en_NZ"/>
              </w:rPr>
            </w:pPr>
            <w:r>
              <w:t xml:space="preserve">A problem </w:t>
            </w:r>
            <w:r>
              <w:t xml:space="preserve">that </w:t>
            </w:r>
            <w:r>
              <w:t>includes anything that harms or that</w:t>
            </w:r>
            <w:r>
              <w:t xml:space="preserve"> </w:t>
            </w:r>
            <w:r>
              <w:t>may harm an employment relationship.</w:t>
            </w:r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 xml:space="preserve">‘Good faith’ </w:t>
            </w:r>
          </w:p>
        </w:tc>
        <w:tc>
          <w:tcPr>
            <w:tcW w:type="dxa" w:w="6813"/>
            <w:shd w:color="000000" w:fill="000000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hyperlink r:id="rId2" w:history="1">
              <w:r>
                <w:rPr>
                  <w:rStyle w:val="Hyperlink"/>
                </w:rPr>
                <w:t>As per Employment Relations Act 2000</w:t>
              </w:r>
            </w:hyperlink>
            <w:r>
              <w:rPr>
                <w:rStyle w:val="Hyperlink"/>
              </w:rPr>
              <w:t xml:space="preserve"> </w:t>
            </w:r>
          </w:p>
        </w:tc>
      </w:tr>
      <w:tr>
        <w:tc>
          <w:tcPr>
            <w:tcW w:type="dxa" w:w="9016"/>
            <w:gridSpan w:val="2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8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References</w:t>
            </w:r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Legislation</w:t>
            </w:r>
          </w:p>
        </w:tc>
        <w:tc>
          <w:tcPr>
            <w:tcW w:type="dxa" w:w="6813"/>
            <w:shd w:color="000000" w:fill="000000" w:val="clear"/>
          </w:tcPr>
          <w:p>
            <w:pPr>
              <w:pStyle w:val="Heading1"/>
              <w:spacing w:after="0" w:before="0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hyperlink r:id="rId3" w:history="1">
              <w:r>
                <w:rPr>
                  <w:rStyle w:val="Hyperlink"/>
                  <w:rFonts w:ascii="Calibri" w:hAnsi="Calibri"/>
                  <w:b w:val="0"/>
                  <w:sz w:val="22"/>
                </w:rPr>
                <w:t>Employment Relations Act 2000</w:t>
              </w:r>
            </w:hyperlink>
          </w:p>
        </w:tc>
      </w:tr>
      <w:tr>
        <w:tc>
          <w:tcPr>
            <w:tcW w:type="dxa" w:w="2203"/>
            <w:shd w:color="000000" w:fill="F2F2F2" w:val="clear"/>
          </w:tcPr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sz w:val="22"/>
              </w:rPr>
              <w:t>Guidelines</w:t>
            </w:r>
          </w:p>
        </w:tc>
        <w:tc>
          <w:tcPr>
            <w:tcW w:type="dxa" w:w="6813"/>
            <w:shd w:color="000000" w:fill="000000" w:val="clear"/>
          </w:tcPr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bookmarkStart w:id="0" w:name="_Toc470499408"/>
            <w:r>
              <w:fldChar w:fldCharType="begin"/>
            </w:r>
            <w:r>
              <w:instrText xml:space="preserve"> HYPERLINK "http://www.worksafe.govt.nz/worksafe/toolshed/bullying-prevention-toolbox" </w:instrText>
            </w:r>
            <w:r>
              <w:fldChar w:fldCharType="separate"/>
            </w:r>
            <w:r>
              <w:rPr>
                <w:rStyle w:val="Hyperlink"/>
              </w:rPr>
              <w:t>Bullying prevention tools</w:t>
            </w:r>
            <w:bookmarkEnd w:id="0"/>
            <w:r>
              <w:fldChar w:fldCharType="end"/>
            </w:r>
          </w:p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hyperlink r:id="rId4" w:history="1">
              <w:r>
                <w:rPr>
                  <w:rStyle w:val="Hyperlink"/>
                </w:rPr>
                <w:t>Employment Court NZ</w:t>
              </w:r>
            </w:hyperlink>
          </w:p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bookmarkStart w:id="1" w:name="_Toc470499409"/>
            <w:hyperlink r:id="rId5" w:history="1">
              <w:bookmarkStart w:id="2" w:name="_Toc470499409"/>
              <w:r>
                <w:rPr>
                  <w:rStyle w:val="Hyperlink"/>
                </w:rPr>
                <w:t>Employment Relations Authority</w:t>
              </w:r>
              <w:bookmarkEnd w:id="1"/>
              <w:bookmarkEnd w:id="2"/>
            </w:hyperlink>
          </w:p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bookmarkStart w:id="3" w:name="_Toc470499410"/>
            <w:hyperlink r:id="rId6" w:history="1">
              <w:bookmarkStart w:id="4" w:name="_Toc470499410"/>
              <w:r>
                <w:rPr>
                  <w:rStyle w:val="Hyperlink"/>
                </w:rPr>
                <w:t>Employment relationships:  from beginning to end</w:t>
              </w:r>
              <w:bookmarkEnd w:id="3"/>
              <w:bookmarkEnd w:id="4"/>
            </w:hyperlink>
          </w:p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bookmarkStart w:id="5" w:name="_Toc470499411"/>
            <w:hyperlink r:id="rId7" w:history="1">
              <w:bookmarkStart w:id="6" w:name="_Toc470499411"/>
              <w:r>
                <w:rPr>
                  <w:rStyle w:val="Hyperlink"/>
                </w:rPr>
                <w:t>Minimum Employment Rights</w:t>
              </w:r>
              <w:bookmarkEnd w:id="5"/>
              <w:bookmarkEnd w:id="6"/>
            </w:hyperlink>
          </w:p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r>
              <w:rPr>
                <w:rStyle w:val="Hyperlink"/>
              </w:rPr>
              <w:t>Resolving Problems</w:t>
            </w:r>
          </w:p>
          <w:p>
            <w:pPr>
              <w:jc w:val="left"/>
              <w:rPr>
                <w:rStyle w:val="Hyperlink"/>
                <w:rFonts w:ascii="Calibri" w:hAnsi="Calibri"/>
                <w:color w:val="0000FF"/>
                <w:sz w:val="22"/>
                <w:u w:val="single"/>
                <w:lang w:bidi="ar_SA" w:eastAsia="en_NZ" w:val="en_NZ"/>
              </w:rPr>
            </w:pPr>
            <w:bookmarkStart w:id="7" w:name="_Toc470499412"/>
            <w:hyperlink r:id="rId8" w:history="1">
              <w:bookmarkStart w:id="8" w:name="_Toc470499412"/>
              <w:r>
                <w:rPr>
                  <w:rStyle w:val="Hyperlink"/>
                </w:rPr>
                <w:t>Solving Problems at Work</w:t>
              </w:r>
              <w:bookmarkEnd w:id="7"/>
              <w:bookmarkEnd w:id="8"/>
            </w:hyperlink>
          </w:p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</w:tr>
    </w:tbl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ook w:val="04A0"/>
      </w:tblPr>
      <w:tblGrid>
        <w:gridCol w:w="1974"/>
        <w:gridCol w:w="6934"/>
      </w:tblGrid>
      <w:tr>
        <w:tc>
          <w:tcPr>
            <w:tcW w:type="dxa" w:w="1974"/>
            <w:shd w:color="000000" w:fill="D9D9D9" w:val="clear"/>
          </w:tcPr>
          <w:p>
            <w:pPr>
              <w:rPr>
                <w:rFonts w:ascii="Calibri" w:hAnsi="Calibri"/>
                <w:b w:val="1"/>
                <w:sz w:val="28"/>
                <w:lang w:bidi="ar_SA" w:eastAsia="en_NZ" w:val="en_NZ"/>
              </w:rPr>
            </w:pPr>
            <w:r>
              <w:rPr>
                <w:b w:val="1"/>
              </w:rPr>
              <w:t xml:space="preserve">Types of problems </w:t>
            </w:r>
          </w:p>
        </w:tc>
        <w:tc>
          <w:tcPr>
            <w:tcW w:type="dxa" w:w="6934"/>
            <w:shd w:color="000000" w:fill="D9D9D9" w:val="clear"/>
          </w:tcPr>
          <w:p>
            <w:pPr>
              <w:rPr>
                <w:rFonts w:ascii="Calibri" w:hAnsi="Calibri"/>
                <w:b w:val="1"/>
                <w:sz w:val="28"/>
                <w:lang w:bidi="ar_SA" w:eastAsia="en_NZ" w:val="en_NZ"/>
              </w:rPr>
            </w:pPr>
            <w:r>
              <w:rPr>
                <w:b w:val="1"/>
              </w:rPr>
              <w:t>Specific behaviour (examples)</w:t>
            </w:r>
          </w:p>
        </w:tc>
      </w:tr>
      <w:tr>
        <w:tc>
          <w:tcPr>
            <w:tcW w:type="dxa" w:w="1974"/>
            <w:vMerge w:val="restart"/>
            <w:shd w:color="000000" w:fill="FFFFFF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b w:val="1"/>
              </w:rPr>
              <w:t>Misconduct</w:t>
            </w:r>
          </w:p>
        </w:tc>
        <w:tc>
          <w:tcPr>
            <w:tcW w:type="dxa" w:w="6934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Lateness for work.</w:t>
            </w:r>
          </w:p>
        </w:tc>
      </w:tr>
      <w:tr>
        <w:tc>
          <w:tcPr>
            <w:tcW w:type="dxa" w:w="1974"/>
            <w:vMerge w:val="continue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Lateness for appointments with service users.</w:t>
            </w:r>
          </w:p>
        </w:tc>
      </w:tr>
      <w:tr>
        <w:tc>
          <w:tcPr>
            <w:tcW w:type="dxa" w:w="1974"/>
            <w:vMerge w:val="continue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Not following the organisations policies or procedures.</w:t>
            </w:r>
          </w:p>
        </w:tc>
      </w:tr>
      <w:tr>
        <w:trPr>
          <w:trHeight w:hRule="atLeast" w:val="587"/>
        </w:trPr>
        <w:tc>
          <w:tcPr>
            <w:tcW w:type="dxa" w:w="1974"/>
            <w:vMerge w:val="continue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Behaviour that is rude and disrespectful to service users, colleagues, manager, other employees or contractors.</w:t>
            </w:r>
          </w:p>
        </w:tc>
      </w:tr>
      <w:tr>
        <w:trPr>
          <w:trHeight w:hRule="atLeast" w:val="411"/>
        </w:trPr>
        <w:tc>
          <w:tcPr>
            <w:tcW w:type="dxa" w:w="1974"/>
            <w:vMerge w:val="continue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 xml:space="preserve">Not following the </w:t>
            </w:r>
            <w:r>
              <w:t>organisations code of conduct.</w:t>
            </w:r>
          </w:p>
        </w:tc>
      </w:tr>
      <w:tr>
        <w:trPr>
          <w:trHeight w:hRule="atLeast" w:val="411"/>
        </w:trPr>
        <w:tc>
          <w:tcPr>
            <w:tcW w:type="dxa" w:w="1974"/>
            <w:vMerge w:val="continue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FFFFFF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Failing to declare a conflict of interest.</w:t>
            </w:r>
          </w:p>
        </w:tc>
      </w:tr>
      <w:tr>
        <w:tc>
          <w:tcPr>
            <w:tcW w:type="dxa" w:w="1974"/>
            <w:vMerge w:val="restart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b w:val="1"/>
              </w:rPr>
              <w:t>Serious misconduct</w:t>
            </w:r>
          </w:p>
          <w:p>
            <w:pPr>
              <w:pStyle w:val="Heading1"/>
              <w:rPr>
                <w:rStyle w:val="Normal"/>
                <w:rFonts w:ascii="Calibri" w:hAnsi="Calibri"/>
                <w:b w:val="1"/>
                <w:bCs w:val="1"/>
                <w:kern w:val="36"/>
                <w:sz w:val="28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Assault (service </w:t>
            </w:r>
            <w:r>
              <w:rPr>
                <w:rFonts w:ascii="Calibri" w:hAnsi="Calibri"/>
                <w:b w:val="0"/>
                <w:sz w:val="22"/>
              </w:rPr>
              <w:t>users</w:t>
            </w:r>
            <w:r>
              <w:rPr>
                <w:rFonts w:ascii="Calibri" w:hAnsi="Calibri"/>
                <w:b w:val="0"/>
                <w:sz w:val="22"/>
              </w:rPr>
              <w:t>, other employees, anyone that resulted in a criminal charge and conviction).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Working under the influence of non-prescribed substances.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Bringing into the workplace and/or using illicit/</w:t>
            </w:r>
            <w:r>
              <w:rPr>
                <w:rFonts w:ascii="Calibri" w:hAnsi="Calibri"/>
                <w:b w:val="0"/>
                <w:sz w:val="22"/>
              </w:rPr>
              <w:t>non-prescribed</w:t>
            </w:r>
            <w:r>
              <w:rPr>
                <w:rFonts w:ascii="Calibri" w:hAnsi="Calibri"/>
                <w:b w:val="0"/>
                <w:sz w:val="22"/>
              </w:rPr>
              <w:t xml:space="preserve"> substances at work.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Driving a company car under the influence of substances (including alcohol)</w:t>
            </w:r>
            <w:r>
              <w:rPr>
                <w:rFonts w:ascii="Calibri" w:hAnsi="Calibri"/>
                <w:b w:val="0"/>
                <w:sz w:val="22"/>
              </w:rPr>
              <w:t xml:space="preserve"> that impair the ability of safe driving. This includes prescribed medication for example benzodiazepines, high doses of opioids</w:t>
            </w:r>
            <w:r>
              <w:rPr>
                <w:rFonts w:ascii="Calibri" w:hAnsi="Calibri"/>
                <w:b w:val="0"/>
                <w:sz w:val="22"/>
              </w:rPr>
              <w:t xml:space="preserve"> and zopic</w:t>
            </w:r>
            <w:r>
              <w:rPr>
                <w:rFonts w:ascii="Calibri" w:hAnsi="Calibri"/>
                <w:b w:val="0"/>
                <w:sz w:val="22"/>
              </w:rPr>
              <w:t>l</w:t>
            </w:r>
            <w:r>
              <w:rPr>
                <w:rFonts w:ascii="Calibri" w:hAnsi="Calibri"/>
                <w:b w:val="0"/>
                <w:sz w:val="22"/>
              </w:rPr>
              <w:t>one.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hyperlink r:id="rId9" w:history="1">
              <w:r>
                <w:rPr>
                  <w:rStyle w:val="Hyperlink"/>
                  <w:rFonts w:ascii="Calibri" w:hAnsi="Calibri"/>
                  <w:b w:val="0"/>
                  <w:sz w:val="22"/>
                </w:rPr>
                <w:t>Sexual harassment</w:t>
              </w:r>
            </w:hyperlink>
            <w:r>
              <w:rPr>
                <w:rFonts w:ascii="Calibri" w:hAnsi="Calibri"/>
                <w:b w:val="0"/>
                <w:sz w:val="22"/>
              </w:rPr>
              <w:t>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hyperlink r:id="rId10" w:history="1">
              <w:r>
                <w:rPr>
                  <w:rStyle w:val="Hyperlink"/>
                  <w:rFonts w:ascii="Calibri" w:hAnsi="Calibri"/>
                  <w:b w:val="0"/>
                  <w:sz w:val="22"/>
                </w:rPr>
                <w:t>Discrimination</w:t>
              </w:r>
            </w:hyperlink>
            <w:r>
              <w:rPr>
                <w:rFonts w:ascii="Calibri" w:hAnsi="Calibri"/>
                <w:b w:val="0"/>
                <w:sz w:val="22"/>
              </w:rPr>
              <w:t>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hyperlink r:id="rId11" w:history="1">
              <w:r>
                <w:rPr>
                  <w:rStyle w:val="Hyperlink"/>
                  <w:rFonts w:ascii="Calibri" w:hAnsi="Calibri"/>
                  <w:b w:val="0"/>
                  <w:sz w:val="22"/>
                </w:rPr>
                <w:t>Bullying.</w:t>
              </w:r>
            </w:hyperlink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Theft of company, employees or service user’s property (including medication).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Intentional damage misuse and/or dangerous use of vehicles and/or equipment.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Failure to follow health and safety procedures.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Breaches of the law.</w:t>
            </w:r>
          </w:p>
        </w:tc>
      </w:tr>
      <w:tr>
        <w:tc>
          <w:tcPr>
            <w:tcW w:type="dxa" w:w="1974"/>
            <w:vMerge w:val="continue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pStyle w:val="Heading1"/>
              <w:rPr>
                <w:rStyle w:val="Normal"/>
                <w:rFonts w:ascii="Calibri" w:hAnsi="Calibri"/>
                <w:b w:val="0"/>
                <w:bCs w:val="1"/>
                <w:kern w:val="36"/>
                <w:sz w:val="22"/>
                <w:lang w:bidi="ar_SA" w:eastAsia="en_NZ" w:val="en_NZ"/>
              </w:rPr>
            </w:pPr>
            <w:r>
              <w:rPr>
                <w:rFonts w:ascii="Calibri" w:hAnsi="Calibri"/>
                <w:b w:val="0"/>
                <w:sz w:val="22"/>
              </w:rPr>
              <w:t>Falsification of records (time sheets,</w:t>
            </w:r>
            <w:r>
              <w:rPr>
                <w:rFonts w:ascii="Calibri" w:hAnsi="Calibri"/>
                <w:b w:val="0"/>
                <w:sz w:val="22"/>
              </w:rPr>
              <w:t xml:space="preserve"> service user records, mileage,</w:t>
            </w:r>
            <w:r>
              <w:rPr>
                <w:rFonts w:ascii="Calibri" w:hAnsi="Calibri"/>
                <w:b w:val="0"/>
                <w:sz w:val="22"/>
              </w:rPr>
              <w:t>)</w:t>
            </w:r>
          </w:p>
        </w:tc>
      </w:tr>
      <w:tr>
        <w:tc>
          <w:tcPr>
            <w:tcW w:type="dxa" w:w="1974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b w:val="1"/>
              </w:rPr>
              <w:t>Poor performance</w:t>
            </w:r>
          </w:p>
        </w:tc>
        <w:tc>
          <w:tcPr>
            <w:tcW w:type="dxa" w:w="6934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highlight w:val="lightGray"/>
                <w:lang w:bidi="ar_SA" w:eastAsia="en_NZ" w:val="en_NZ"/>
              </w:rPr>
            </w:pPr>
            <w:r>
              <w:t>Poor performance is a situation where the employee is not meeting the reasonable expectations of his or her job.</w:t>
            </w:r>
          </w:p>
        </w:tc>
      </w:tr>
      <w:tr>
        <w:tc>
          <w:tcPr>
            <w:tcW w:type="dxa" w:w="1974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b w:val="1"/>
              </w:rPr>
              <w:t>Incapacity</w:t>
            </w:r>
          </w:p>
        </w:tc>
        <w:tc>
          <w:tcPr>
            <w:tcW w:type="dxa" w:w="6934"/>
            <w:shd w:color="000000" w:fill="000000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An employee who is incapable of doing his or her job for a period that</w:t>
            </w:r>
          </w:p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the employer cannot reasonably be expected to sustain.</w:t>
            </w:r>
          </w:p>
        </w:tc>
      </w:tr>
      <w:tr>
        <w:tc>
          <w:tcPr>
            <w:tcW w:type="dxa" w:w="1974"/>
            <w:shd w:color="000000" w:fill="000000" w:val="clear"/>
          </w:tcPr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  <w:r>
              <w:rPr>
                <w:b w:val="1"/>
              </w:rPr>
              <w:t>Incompatibility</w:t>
            </w:r>
          </w:p>
          <w:p>
            <w:pPr>
              <w:jc w:val="left"/>
              <w:rPr>
                <w:rFonts w:ascii="Calibri" w:hAnsi="Calibri"/>
                <w:b w:val="1"/>
                <w:sz w:val="22"/>
                <w:lang w:bidi="ar_SA" w:eastAsia="en_NZ" w:val="en_NZ"/>
              </w:rPr>
            </w:pPr>
          </w:p>
        </w:tc>
        <w:tc>
          <w:tcPr>
            <w:tcW w:type="dxa" w:w="6934"/>
            <w:shd w:color="000000" w:fill="000000" w:val="clear"/>
          </w:tcPr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A situation where there is a fundamental breakdown in the relationship</w:t>
            </w:r>
          </w:p>
          <w:p>
            <w:pPr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between two or more individuals, such that they can no longer work together.</w:t>
            </w:r>
          </w:p>
        </w:tc>
      </w:tr>
    </w:tbl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tabs>
          <w:tab w:leader="none" w:pos="1050" w:val="lef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  <w:r>
        <w:rPr>
          <w:rFonts w:ascii="Calibri" w:hAnsi="Calibri"/>
          <w:sz w:val="28"/>
        </w:rPr>
        <w:t xml:space="preserve">	</w:t>
      </w:r>
    </w:p>
    <w:p>
      <w:pPr>
        <w:pStyle w:val="Heading1"/>
        <w:tabs>
          <w:tab w:leader="none" w:pos="1985" w:val="lef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tabs>
          <w:tab w:leader="none" w:pos="1050" w:val="lef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tabs>
          <w:tab w:leader="none" w:pos="9026" w:val="righ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  <w:r>
        <w:rPr>
          <w:rFonts w:ascii="Calibri" w:hAnsi="Calibri"/>
          <w:sz w:val="28"/>
        </w:rPr>
        <w:t xml:space="preserve">	</w:t>
      </w:r>
    </w:p>
    <w:p>
      <w:pPr>
        <w:pStyle w:val="Heading1"/>
        <w:tabs>
          <w:tab w:leader="none" w:pos="9026" w:val="righ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tabs>
          <w:tab w:leader="none" w:pos="1985" w:val="left"/>
        </w:tabs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</w:p>
    <w:p>
      <w:pPr>
        <w:pStyle w:val="Heading1"/>
        <w:rPr>
          <w:rStyle w:val="Normal"/>
          <w:rFonts w:ascii="Calibri" w:hAnsi="Calibri"/>
          <w:b w:val="1"/>
          <w:bCs w:val="1"/>
          <w:kern w:val="36"/>
          <w:sz w:val="28"/>
          <w:lang w:bidi="ar_SA" w:eastAsia="en_NZ" w:val="en_NZ"/>
        </w:rPr>
      </w:pPr>
      <w:r>
        <w:rPr>
          <w:rFonts w:ascii="Calibri" w:hAnsi="Calibri"/>
          <w:sz w:val="28"/>
        </w:rPr>
        <w:t>Consultation</w:t>
      </w:r>
    </w:p>
    <w:tbl>
      <w:tblPr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ook w:val="04A0"/>
      </w:tblPr>
      <w:tblGrid>
        <w:gridCol w:w="4111"/>
        <w:gridCol w:w="2268"/>
      </w:tblGrid>
      <w:tr>
        <w:tc>
          <w:tcPr>
            <w:tcW w:type="dxa" w:w="4111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Group/Role</w:t>
            </w:r>
          </w:p>
        </w:tc>
        <w:tc>
          <w:tcPr>
            <w:tcW w:type="dxa" w:w="2268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  <w:r>
              <w:t>Date</w:t>
            </w:r>
          </w:p>
        </w:tc>
      </w:tr>
      <w:tr>
        <w:tc>
          <w:tcPr>
            <w:tcW w:type="dxa" w:w="4111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2268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</w:tr>
      <w:tr>
        <w:tc>
          <w:tcPr>
            <w:tcW w:type="dxa" w:w="4111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2268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</w:tr>
      <w:tr>
        <w:tc>
          <w:tcPr>
            <w:tcW w:type="dxa" w:w="4111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2268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</w:tr>
      <w:tr>
        <w:tc>
          <w:tcPr>
            <w:tcW w:type="dxa" w:w="4111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  <w:tc>
          <w:tcPr>
            <w:tcW w:type="dxa" w:w="2268"/>
            <w:shd w:color="000000" w:fill="000000" w:val="clear"/>
          </w:tcPr>
          <w:p>
            <w:pPr>
              <w:tabs>
                <w:tab w:leader="none" w:pos="1275" w:val="left"/>
              </w:tabs>
              <w:jc w:val="left"/>
              <w:rPr>
                <w:rFonts w:ascii="Calibri" w:hAnsi="Calibri"/>
                <w:sz w:val="22"/>
                <w:lang w:bidi="ar_SA" w:eastAsia="en_NZ" w:val="en_NZ"/>
              </w:rPr>
            </w:pPr>
          </w:p>
        </w:tc>
      </w:tr>
    </w:tbl>
    <w:p>
      <w:pPr>
        <w:tabs>
          <w:tab w:leader="none" w:pos="870" w:val="left"/>
          <w:tab w:leader="none" w:pos="4513" w:val="center"/>
        </w:tabs>
        <w:jc w:val="left"/>
        <w:rPr>
          <w:rFonts w:ascii="Calibri" w:hAnsi="Calibri"/>
          <w:sz w:val="22"/>
          <w:lang w:bidi="ar_SA" w:eastAsia="en_NZ" w:val="en_NZ"/>
        </w:rPr>
      </w:pPr>
    </w:p>
    <w:p>
      <w:pPr>
        <w:jc w:val="left"/>
        <w:rPr>
          <w:rFonts w:ascii="Calibri" w:hAnsi="Calibri"/>
          <w:sz w:val="22"/>
          <w:lang w:bidi="ar_SA" w:eastAsia="en_NZ" w:val="en_NZ"/>
        </w:rPr>
      </w:pPr>
    </w:p>
    <w:sectPr>
      <w:headerReference w:type="even" r:id="rId12"/>
      <w:headerReference w:type="default" r:id="rId13"/>
      <w:headerReference w:type="first" r:id="rId14"/>
      <w:footerReference w:type="even" r:id="rId15"/>
      <w:footerReference w:type="default" r:id="rId16"/>
      <w:footerReference w:type="first" r:id="rId17"/>
      <w:pgSz w:h="16838" w:w="11906"/>
      <w:pgMar w:bottom="851" w:footer="0" w:gutter="0" w:header="708" w:left="1440" w:right="1440" w:top="14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200" w:rsidRDefault="004C1200" w:rsidP="00E31B83">
      <w:r>
        <w:separator/>
      </w:r>
    </w:p>
  </w:endnote>
  <w:endnote w:type="continuationSeparator" w:id="0">
    <w:p w:rsidR="004C1200" w:rsidRDefault="004C1200" w:rsidP="00E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ryMonoli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undryMonoline-Reg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70" w:rsidRDefault="001D39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702D27" w:rsidTr="001D3970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GSHarnisch</w:t>
          </w:r>
        </w:p>
      </w:tc>
      <w:tc>
        <w:tcPr>
          <w:tcW w:w="862" w:type="dxa"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Review </w:t>
          </w:r>
        </w:p>
      </w:tc>
      <w:tc>
        <w:tcPr>
          <w:tcW w:w="1406" w:type="dxa"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2020</w:t>
          </w:r>
        </w:p>
      </w:tc>
      <w:tc>
        <w:tcPr>
          <w:tcW w:w="1560" w:type="dxa"/>
        </w:tcPr>
        <w:p w:rsidR="00702D27" w:rsidRDefault="00702D27" w:rsidP="00702D27">
          <w:pPr>
            <w:pStyle w:val="Footer"/>
            <w:rPr>
              <w:rFonts w:cs="Calibri"/>
            </w:rPr>
          </w:pPr>
          <w:r>
            <w:rPr>
              <w:rFonts w:cs="Calibri"/>
            </w:rPr>
            <w:t>Authorised by:</w:t>
          </w:r>
        </w:p>
      </w:tc>
      <w:tc>
        <w:tcPr>
          <w:tcW w:w="1275" w:type="dxa"/>
        </w:tcPr>
        <w:p w:rsidR="00702D27" w:rsidRDefault="00702D27" w:rsidP="00702D27">
          <w:pPr>
            <w:pStyle w:val="Footer"/>
            <w:rPr>
              <w:rFonts w:cs="Calibri"/>
            </w:rPr>
          </w:pPr>
        </w:p>
      </w:tc>
    </w:tr>
  </w:tbl>
  <w:p w:rsidR="0087498E" w:rsidRDefault="008749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70" w:rsidRDefault="001D3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200" w:rsidRDefault="004C1200" w:rsidP="00E31B83">
      <w:r>
        <w:separator/>
      </w:r>
    </w:p>
  </w:footnote>
  <w:footnote w:type="continuationSeparator" w:id="0">
    <w:p w:rsidR="004C1200" w:rsidRDefault="004C1200" w:rsidP="00E31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70" w:rsidRDefault="001D39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D28" w:rsidRDefault="00595D28">
    <w:pPr>
      <w:pStyle w:val="Header"/>
    </w:pPr>
  </w:p>
  <w:p w:rsidR="00595D28" w:rsidRPr="004F1E59" w:rsidRDefault="00595D28" w:rsidP="00595D28">
    <w:pPr>
      <w:pStyle w:val="Header"/>
      <w:jc w:val="right"/>
      <w:rPr>
        <w:rFonts w:cs="Calibri"/>
      </w:rPr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2A052ED" wp14:editId="2B9A185A">
              <wp:simplePos x="0" y="0"/>
              <wp:positionH relativeFrom="column">
                <wp:posOffset>-405765</wp:posOffset>
              </wp:positionH>
              <wp:positionV relativeFrom="paragraph">
                <wp:posOffset>-201930</wp:posOffset>
              </wp:positionV>
              <wp:extent cx="2198370" cy="342900"/>
              <wp:effectExtent l="0" t="0" r="11430" b="19050"/>
              <wp:wrapSquare wrapText="bothSides"/>
              <wp:docPr id="35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83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95D28" w:rsidRPr="004F1E59" w:rsidRDefault="00595D28" w:rsidP="00595D28">
                          <w:pPr>
                            <w:rPr>
                              <w:rFonts w:cs="Calibri"/>
                            </w:rPr>
                          </w:pPr>
                          <w:r w:rsidRPr="004F1E59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A052ED"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0;text-align:left;margin-left:-31.95pt;margin-top:-15.9pt;width:173.1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">
              <v:textbox>
                <w:txbxContent>
                  <w:p w:rsidR="00595D28" w:rsidRPr="004F1E59" w:rsidRDefault="00595D28" w:rsidP="00595D28">
                    <w:pPr>
                      <w:rPr>
                        <w:rFonts w:cs="Calibri"/>
                      </w:rPr>
                    </w:pPr>
                    <w:r w:rsidRPr="004F1E59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cs="Calibri"/>
      </w:rPr>
      <w:t xml:space="preserve">  </w:t>
    </w:r>
    <w:r w:rsidRPr="004F1E59">
      <w:rPr>
        <w:rFonts w:cs="Calibri"/>
      </w:rPr>
      <w:t xml:space="preserve">Page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PAGE </w:instrText>
    </w:r>
    <w:r w:rsidRPr="004F1E59">
      <w:rPr>
        <w:rFonts w:cs="Calibri"/>
        <w:b/>
        <w:bCs/>
      </w:rPr>
      <w:fldChar w:fldCharType="separate"/>
    </w:r>
    <w:r w:rsidR="00081A5C">
      <w:rPr>
        <w:rFonts w:cs="Calibri"/>
        <w:b/>
        <w:bCs/>
        <w:noProof/>
      </w:rPr>
      <w:t>4</w:t>
    </w:r>
    <w:r w:rsidRPr="004F1E59">
      <w:rPr>
        <w:rFonts w:cs="Calibri"/>
        <w:b/>
        <w:bCs/>
      </w:rPr>
      <w:fldChar w:fldCharType="end"/>
    </w:r>
    <w:r w:rsidRPr="004F1E59">
      <w:rPr>
        <w:rFonts w:cs="Calibri"/>
      </w:rPr>
      <w:t xml:space="preserve"> of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NUMPAGES  </w:instrText>
    </w:r>
    <w:r w:rsidRPr="004F1E59">
      <w:rPr>
        <w:rFonts w:cs="Calibri"/>
        <w:b/>
        <w:bCs/>
      </w:rPr>
      <w:fldChar w:fldCharType="separate"/>
    </w:r>
    <w:r w:rsidR="00081A5C">
      <w:rPr>
        <w:rFonts w:cs="Calibri"/>
        <w:b/>
        <w:bCs/>
        <w:noProof/>
      </w:rPr>
      <w:t>6</w:t>
    </w:r>
    <w:r w:rsidRPr="004F1E59">
      <w:rPr>
        <w:rFonts w:cs="Calibri"/>
        <w:b/>
        <w:bCs/>
      </w:rPr>
      <w:fldChar w:fldCharType="end"/>
    </w:r>
  </w:p>
  <w:p w:rsidR="0087498E" w:rsidRDefault="00595D28" w:rsidP="001359EE">
    <w:pPr>
      <w:pStyle w:val="Header"/>
      <w:tabs>
        <w:tab w:val="clear" w:pos="4513"/>
        <w:tab w:val="center" w:pos="3119"/>
      </w:tabs>
      <w:jc w:val="both"/>
      <w:rPr>
        <w:rFonts w:cs="Calibri"/>
        <w:b/>
        <w:sz w:val="28"/>
        <w:szCs w:val="28"/>
      </w:rPr>
    </w:pPr>
    <w:r>
      <w:rPr>
        <w:rFonts w:cs="Calibri"/>
        <w:b/>
        <w:sz w:val="28"/>
        <w:szCs w:val="28"/>
      </w:rPr>
      <w:t xml:space="preserve">  Employment Relationships</w:t>
    </w:r>
    <w:r w:rsidR="001359EE">
      <w:rPr>
        <w:rFonts w:cs="Calibri"/>
        <w:b/>
        <w:sz w:val="28"/>
        <w:szCs w:val="28"/>
      </w:rPr>
      <w:t xml:space="preserve"> – Resolving Issues</w:t>
    </w:r>
  </w:p>
  <w:p w:rsidR="007C4EBF" w:rsidRPr="00D00CA8" w:rsidRDefault="007C4EBF" w:rsidP="00595D28">
    <w:pPr>
      <w:pStyle w:val="Header"/>
      <w:tabs>
        <w:tab w:val="clear" w:pos="4513"/>
        <w:tab w:val="center" w:pos="4111"/>
      </w:tabs>
      <w:jc w:val="both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970" w:rsidRDefault="001D3970">
    <w:pPr>
      <w:pStyle w:val="Header"/>
    </w:pPr>
  </w:p>
</w:hdr>
</file>

<file path=word/numbering.xml><?xml version="1.0" encoding="utf-8"?>
<w:numbering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abstractNum w:abstractNumId="0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1">
    <w:multiLevelType w:val="hybridMultilevel"/>
    <w:tmpl w:val="7A5EC4E0"/>
    <w:numStyleLink w:val="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multiLevelType w:val="hybridMultilevel"/>
    <w:tmpl w:val="61F0BD42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3">
    <w:multiLevelType w:val="hybridMultilevel"/>
    <w:tmpl w:val="219A945C"/>
    <w:numStyleLink w:val="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5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6">
    <w:multiLevelType w:val="hybridMultilevel"/>
    <w:tmpl w:val="C3EE2E06"/>
    <w:numStyleLink w:val=""/>
    <w:lvl w:ilvl="0">
      <w:start w:val="1"/>
      <w:numFmt w:val="bullet"/>
      <w:lvlText w:val=""/>
      <w:lvlJc w:val="left"/>
      <w:pPr>
        <w:tabs>
          <w:tab w:leader="none" w:pos="360" w:val="num"/>
        </w:tabs>
        <w:ind w:hanging="284" w:left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num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num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num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num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num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num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num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num"/>
        </w:tabs>
        <w:ind w:hanging="360" w:left="6480"/>
      </w:pPr>
      <w:rPr>
        <w:rFonts w:ascii="Wingdings" w:hAnsi="Wingdings"/>
      </w:rPr>
    </w:lvl>
  </w:abstractNum>
  <w:abstractNum w:abstractNumId="7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8">
    <w:multiLevelType w:val="hybridMultilevel"/>
    <w:tmpl w:val="AED6B37A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9">
    <w:multiLevelType w:val="hybridMultilevel"/>
    <w:tmpl w:val="27C65AE8"/>
    <w:numStyleLink w:val=""/>
    <w:lvl w:ilvl="0">
      <w:start w:val="1"/>
      <w:numFmt w:val="decimal"/>
      <w:lvlText w:val="%1."/>
      <w:lvlJc w:val="left"/>
      <w:pPr>
        <w:tabs>
          <w:tab w:leader="none"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num"/>
        </w:tabs>
        <w:ind w:hanging="180" w:left="6480"/>
      </w:pPr>
    </w:lvl>
  </w:abstractNum>
  <w:abstractNum w:abstractNumId="10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11">
    <w:multiLevelType w:val="hybridMultilevel"/>
    <w:tmpl w:val="BA9810CE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2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13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14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15">
    <w:multiLevelType w:val="hybridMultilevel"/>
    <w:tmpl w:val="5E4ABD4C"/>
    <w:numStyleLink w:val="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multiLevelType w:val="hybridMultilevel"/>
    <w:tmpl w:val="D30606BE"/>
    <w:numStyleLink w:val=""/>
    <w:lvl w:ilvl="0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46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54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61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68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75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82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90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9720"/>
      </w:pPr>
      <w:rPr>
        <w:rFonts w:ascii="Wingdings" w:hAnsi="Wingdings"/>
      </w:rPr>
    </w:lvl>
  </w:abstractNum>
  <w:abstractNum w:abstractNumId="17">
    <w:multiLevelType w:val="hybridMultilevel"/>
    <w:tmpl w:val="7494E4BA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8">
    <w:multiLevelType w:val="hybridMultilevel"/>
    <w:tmpl w:val="E65C1C8A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9">
    <w:multiLevelType w:val="hybridMultilevel"/>
    <w:tmpl w:val="5B94A3C4"/>
    <w:numStyleLink w:val=""/>
    <w:lvl w:ilvl="0">
      <w:start w:val="1"/>
      <w:numFmt w:val="decimal"/>
      <w:lvlText w:val="%1."/>
      <w:lvlJc w:val="left"/>
      <w:pPr>
        <w:tabs>
          <w:tab w:leader="none"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num"/>
        </w:tabs>
        <w:ind w:hanging="180" w:left="6480"/>
      </w:pPr>
    </w:lvl>
  </w:abstractNum>
  <w:abstractNum w:abstractNumId="20">
    <w:multiLevelType w:val="hybridMultilevel"/>
    <w:tmpl w:val="0E1227D2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1">
    <w:multiLevelType w:val="hybridMultilevel"/>
    <w:tmpl w:val="472CB04C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2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abstractNum w:abstractNumId="23">
    <w:multiLevelType w:val="hybridMultilevel"/>
    <w:tmpl w:val="9C748148"/>
    <w:numStyleLink w:val=""/>
    <w:lvl w:ilvl="0">
      <w:start w:val="1"/>
      <w:numFmt w:val="bullet"/>
      <w:lvlText w:val="o"/>
      <w:lvlJc w:val="left"/>
      <w:pPr>
        <w:ind w:hanging="360" w:left="1353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2073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93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13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33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953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73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93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13"/>
      </w:pPr>
      <w:rPr>
        <w:rFonts w:ascii="Wingdings" w:hAnsi="Wingdings"/>
      </w:rPr>
    </w:lvl>
  </w:abstractNum>
  <w:abstractNum w:abstractNumId="24">
    <w:multiLevelType w:val="hybridMultilevel"/>
    <w:tmpl w:val="A784E628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5">
    <w:multiLevelType w:val="hybridMultilevel"/>
    <w:tmpl w:val="6EB8F2A2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6">
    <w:multiLevelType w:val="hybridMultilevel"/>
    <w:tmpl w:val="FD76311E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7">
    <w:multiLevelType w:val="hybridMultilevel"/>
    <w:tmpl w:val="EC1EF710"/>
    <w:numStyleLink w:val=""/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28">
    <w:multiLevelType w:val="singleLevel"/>
    <w:tmpl w:val="08090005"/>
    <w:numStyleLink w:val=""/>
    <w:lvl w:ilvl="0">
      <w:start w:val="1"/>
      <w:numFmt w:val="bullet"/>
      <w:lvlText w:val=""/>
      <w:lvlJc w:val="left"/>
      <w:pPr>
        <w:tabs>
          <w:tab w:leader="none" w:pos="360" w:val="num"/>
        </w:tabs>
        <w:ind w:hanging="360" w:left="360"/>
      </w:pPr>
      <w:rPr>
        <w:rFonts w:ascii="Wingdings" w:hAnsi="Wingdings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3"/>
  </w:num>
  <w:num w:numId="5">
    <w:abstractNumId w:val="14"/>
  </w:num>
  <w:num w:numId="6">
    <w:abstractNumId w:val="0"/>
  </w:num>
  <w:num w:numId="7">
    <w:abstractNumId w:val="22"/>
  </w:num>
  <w:num w:numId="8">
    <w:abstractNumId w:val="5"/>
  </w:num>
  <w:num w:numId="9">
    <w:abstractNumId w:val="10"/>
  </w:num>
  <w:num w:numId="10">
    <w:abstractNumId w:val="12"/>
  </w:num>
  <w:num w:numId="11">
    <w:abstractNumId w:val="28"/>
  </w:num>
  <w:num w:numId="12">
    <w:abstractNumId w:val="4"/>
  </w:num>
  <w:num w:numId="13">
    <w:abstractNumId w:val="19"/>
  </w:num>
  <w:num w:numId="14">
    <w:abstractNumId w:val="3"/>
  </w:num>
  <w:num w:numId="15">
    <w:abstractNumId w:val="2"/>
  </w:num>
  <w:num w:numId="16">
    <w:abstractNumId w:val="25"/>
  </w:num>
  <w:num w:numId="17">
    <w:abstractNumId w:val="15"/>
  </w:num>
  <w:num w:numId="18">
    <w:abstractNumId w:val="21"/>
  </w:num>
  <w:num w:numId="19">
    <w:abstractNumId w:val="1"/>
  </w:num>
  <w:num w:numId="20">
    <w:abstractNumId w:val="26"/>
  </w:num>
  <w:num w:numId="21">
    <w:abstractNumId w:val="17"/>
  </w:num>
  <w:num w:numId="22">
    <w:abstractNumId w:val="24"/>
  </w:num>
  <w:num w:numId="23">
    <w:abstractNumId w:val="18"/>
  </w:num>
  <w:num w:numId="24">
    <w:abstractNumId w:val="20"/>
  </w:num>
  <w:num w:numId="25">
    <w:abstractNumId w:val="16"/>
  </w:num>
  <w:num w:numId="26">
    <w:abstractNumId w:val="23"/>
  </w:num>
  <w:num w:numId="27">
    <w:abstractNumId w:val="11"/>
  </w:num>
  <w:num w:numId="28">
    <w:abstractNumId w:val="8"/>
  </w:num>
  <w:num w:numId="29">
    <w:abstractNumId w:val="27"/>
  </w:num>
</w:numbering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A8"/>
    <w:rsid w:val="000144D5"/>
    <w:rsid w:val="0002388F"/>
    <w:rsid w:val="00031636"/>
    <w:rsid w:val="00046DCB"/>
    <w:rsid w:val="0005732C"/>
    <w:rsid w:val="0007775D"/>
    <w:rsid w:val="00081A5C"/>
    <w:rsid w:val="0008273F"/>
    <w:rsid w:val="000A178B"/>
    <w:rsid w:val="000A4335"/>
    <w:rsid w:val="000A4B78"/>
    <w:rsid w:val="000A6486"/>
    <w:rsid w:val="000C3C3C"/>
    <w:rsid w:val="000D0507"/>
    <w:rsid w:val="000E05BA"/>
    <w:rsid w:val="000E7A65"/>
    <w:rsid w:val="000F3CF3"/>
    <w:rsid w:val="001275A9"/>
    <w:rsid w:val="00133520"/>
    <w:rsid w:val="001359EE"/>
    <w:rsid w:val="00137BC7"/>
    <w:rsid w:val="001655E2"/>
    <w:rsid w:val="001726B7"/>
    <w:rsid w:val="00173B9F"/>
    <w:rsid w:val="0017714E"/>
    <w:rsid w:val="0018051A"/>
    <w:rsid w:val="00182307"/>
    <w:rsid w:val="00187A0D"/>
    <w:rsid w:val="00190D7F"/>
    <w:rsid w:val="001A1276"/>
    <w:rsid w:val="001B3A9D"/>
    <w:rsid w:val="001B5D1C"/>
    <w:rsid w:val="001C44F0"/>
    <w:rsid w:val="001D2F2A"/>
    <w:rsid w:val="001D3970"/>
    <w:rsid w:val="00203C5B"/>
    <w:rsid w:val="0020437C"/>
    <w:rsid w:val="00230A02"/>
    <w:rsid w:val="002B4570"/>
    <w:rsid w:val="002D00B8"/>
    <w:rsid w:val="002E2D40"/>
    <w:rsid w:val="002E50C6"/>
    <w:rsid w:val="002F1CDB"/>
    <w:rsid w:val="00304179"/>
    <w:rsid w:val="00325A58"/>
    <w:rsid w:val="00334405"/>
    <w:rsid w:val="00340974"/>
    <w:rsid w:val="00342567"/>
    <w:rsid w:val="00360D41"/>
    <w:rsid w:val="003663B7"/>
    <w:rsid w:val="00367521"/>
    <w:rsid w:val="0037004B"/>
    <w:rsid w:val="00395C1D"/>
    <w:rsid w:val="003B0BF0"/>
    <w:rsid w:val="003B4208"/>
    <w:rsid w:val="003E20F3"/>
    <w:rsid w:val="003E4956"/>
    <w:rsid w:val="00407436"/>
    <w:rsid w:val="00415B7C"/>
    <w:rsid w:val="00417C0C"/>
    <w:rsid w:val="00427A80"/>
    <w:rsid w:val="00436873"/>
    <w:rsid w:val="00446ADA"/>
    <w:rsid w:val="00455F9F"/>
    <w:rsid w:val="00472775"/>
    <w:rsid w:val="00473018"/>
    <w:rsid w:val="0047529F"/>
    <w:rsid w:val="00476206"/>
    <w:rsid w:val="00486531"/>
    <w:rsid w:val="004A13C5"/>
    <w:rsid w:val="004A1656"/>
    <w:rsid w:val="004A36C4"/>
    <w:rsid w:val="004C1200"/>
    <w:rsid w:val="004C2DF7"/>
    <w:rsid w:val="004D0BE0"/>
    <w:rsid w:val="004F21BF"/>
    <w:rsid w:val="004F53CE"/>
    <w:rsid w:val="005254F2"/>
    <w:rsid w:val="00540898"/>
    <w:rsid w:val="00545A48"/>
    <w:rsid w:val="0055596A"/>
    <w:rsid w:val="00574848"/>
    <w:rsid w:val="00595D28"/>
    <w:rsid w:val="005A2900"/>
    <w:rsid w:val="005A7A32"/>
    <w:rsid w:val="005D2DF3"/>
    <w:rsid w:val="005D472A"/>
    <w:rsid w:val="005E7291"/>
    <w:rsid w:val="005F1616"/>
    <w:rsid w:val="006140DC"/>
    <w:rsid w:val="006247C9"/>
    <w:rsid w:val="0063630F"/>
    <w:rsid w:val="00652339"/>
    <w:rsid w:val="0066342E"/>
    <w:rsid w:val="00666D48"/>
    <w:rsid w:val="006673F8"/>
    <w:rsid w:val="00673298"/>
    <w:rsid w:val="00683DFE"/>
    <w:rsid w:val="006932DE"/>
    <w:rsid w:val="0069738B"/>
    <w:rsid w:val="006A5894"/>
    <w:rsid w:val="006B778E"/>
    <w:rsid w:val="006E7502"/>
    <w:rsid w:val="006E7B71"/>
    <w:rsid w:val="006F2F2C"/>
    <w:rsid w:val="00702D27"/>
    <w:rsid w:val="007069C9"/>
    <w:rsid w:val="00713036"/>
    <w:rsid w:val="007274F0"/>
    <w:rsid w:val="00766424"/>
    <w:rsid w:val="0077233E"/>
    <w:rsid w:val="00794EDC"/>
    <w:rsid w:val="007B2DC4"/>
    <w:rsid w:val="007C4EBF"/>
    <w:rsid w:val="007E22A2"/>
    <w:rsid w:val="007F4046"/>
    <w:rsid w:val="00816985"/>
    <w:rsid w:val="00822F9E"/>
    <w:rsid w:val="00844C67"/>
    <w:rsid w:val="0084594D"/>
    <w:rsid w:val="008521F6"/>
    <w:rsid w:val="008676A3"/>
    <w:rsid w:val="008719CF"/>
    <w:rsid w:val="0087498E"/>
    <w:rsid w:val="0088750C"/>
    <w:rsid w:val="00890D73"/>
    <w:rsid w:val="008A6357"/>
    <w:rsid w:val="008C2E45"/>
    <w:rsid w:val="008D721E"/>
    <w:rsid w:val="008E36C5"/>
    <w:rsid w:val="008E5EEB"/>
    <w:rsid w:val="009347F9"/>
    <w:rsid w:val="0094042A"/>
    <w:rsid w:val="00940649"/>
    <w:rsid w:val="00942DCF"/>
    <w:rsid w:val="0097379C"/>
    <w:rsid w:val="0098249E"/>
    <w:rsid w:val="009A393E"/>
    <w:rsid w:val="009B7992"/>
    <w:rsid w:val="009D75B4"/>
    <w:rsid w:val="009F27DC"/>
    <w:rsid w:val="009F5BF9"/>
    <w:rsid w:val="00A206E9"/>
    <w:rsid w:val="00A221B9"/>
    <w:rsid w:val="00A25DC3"/>
    <w:rsid w:val="00A433E8"/>
    <w:rsid w:val="00A727C6"/>
    <w:rsid w:val="00A83313"/>
    <w:rsid w:val="00AA2CE0"/>
    <w:rsid w:val="00AC5D43"/>
    <w:rsid w:val="00AE66F1"/>
    <w:rsid w:val="00AF2E05"/>
    <w:rsid w:val="00AF2FA4"/>
    <w:rsid w:val="00AF3DF1"/>
    <w:rsid w:val="00AF437F"/>
    <w:rsid w:val="00AF513F"/>
    <w:rsid w:val="00B1130D"/>
    <w:rsid w:val="00B20306"/>
    <w:rsid w:val="00B33F5E"/>
    <w:rsid w:val="00B34007"/>
    <w:rsid w:val="00B3553A"/>
    <w:rsid w:val="00B41241"/>
    <w:rsid w:val="00B46C7E"/>
    <w:rsid w:val="00B735CB"/>
    <w:rsid w:val="00B86748"/>
    <w:rsid w:val="00BB0FD8"/>
    <w:rsid w:val="00BC09DD"/>
    <w:rsid w:val="00BC4B8E"/>
    <w:rsid w:val="00BD341C"/>
    <w:rsid w:val="00BD3B8D"/>
    <w:rsid w:val="00BD3C7A"/>
    <w:rsid w:val="00BD666D"/>
    <w:rsid w:val="00BE6AB7"/>
    <w:rsid w:val="00BE770D"/>
    <w:rsid w:val="00C1016F"/>
    <w:rsid w:val="00C1022C"/>
    <w:rsid w:val="00C240F6"/>
    <w:rsid w:val="00C31C5B"/>
    <w:rsid w:val="00C374B1"/>
    <w:rsid w:val="00C502FB"/>
    <w:rsid w:val="00C616B0"/>
    <w:rsid w:val="00C85403"/>
    <w:rsid w:val="00C95B76"/>
    <w:rsid w:val="00CD111C"/>
    <w:rsid w:val="00CD4906"/>
    <w:rsid w:val="00D00CA8"/>
    <w:rsid w:val="00D21DCB"/>
    <w:rsid w:val="00D23CC2"/>
    <w:rsid w:val="00D4381D"/>
    <w:rsid w:val="00D46911"/>
    <w:rsid w:val="00D648F8"/>
    <w:rsid w:val="00DA65A8"/>
    <w:rsid w:val="00DB14FB"/>
    <w:rsid w:val="00DD6C44"/>
    <w:rsid w:val="00DF7222"/>
    <w:rsid w:val="00E0687C"/>
    <w:rsid w:val="00E244A4"/>
    <w:rsid w:val="00E247CF"/>
    <w:rsid w:val="00E31B83"/>
    <w:rsid w:val="00E43DBC"/>
    <w:rsid w:val="00E554EC"/>
    <w:rsid w:val="00E6366F"/>
    <w:rsid w:val="00E66912"/>
    <w:rsid w:val="00E70E59"/>
    <w:rsid w:val="00E740B2"/>
    <w:rsid w:val="00E93817"/>
    <w:rsid w:val="00E95A9E"/>
    <w:rsid w:val="00EB0B54"/>
    <w:rsid w:val="00ED308A"/>
    <w:rsid w:val="00EE4A07"/>
    <w:rsid w:val="00EE4ACB"/>
    <w:rsid w:val="00EF056D"/>
    <w:rsid w:val="00EF2D32"/>
    <w:rsid w:val="00F011CB"/>
    <w:rsid w:val="00F1481E"/>
    <w:rsid w:val="00F25FE4"/>
    <w:rsid w:val="00F263CA"/>
    <w:rsid w:val="00F330FA"/>
    <w:rsid w:val="00F41954"/>
    <w:rsid w:val="00F608E2"/>
    <w:rsid w:val="00F61672"/>
    <w:rsid w:val="00F94E0A"/>
    <w:rsid w:val="00F96A04"/>
    <w:rsid w:val="00F96E0B"/>
    <w:rsid w:val="00FD2A28"/>
    <w:rsid w:val="00FD6262"/>
    <w:rsid w:val="00FF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B83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31B8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D7F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B83"/>
  </w:style>
  <w:style w:type="paragraph" w:styleId="Footer">
    <w:name w:val="footer"/>
    <w:basedOn w:val="Normal"/>
    <w:link w:val="Foot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B83"/>
  </w:style>
  <w:style w:type="table" w:styleId="TableGrid">
    <w:name w:val="Table Grid"/>
    <w:basedOn w:val="TableNormal"/>
    <w:rsid w:val="00E31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E31B8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uiPriority w:val="99"/>
    <w:unhideWhenUsed/>
    <w:rsid w:val="00230A0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589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character" w:styleId="FollowedHyperlink">
    <w:name w:val="FollowedHyperlink"/>
    <w:uiPriority w:val="99"/>
    <w:semiHidden/>
    <w:unhideWhenUsed/>
    <w:rsid w:val="003E20F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04179"/>
    <w:pPr>
      <w:ind w:left="720"/>
      <w:contextualSpacing/>
    </w:pPr>
  </w:style>
  <w:style w:type="character" w:customStyle="1" w:styleId="Heading6Char">
    <w:name w:val="Heading 6 Char"/>
    <w:link w:val="Heading6"/>
    <w:uiPriority w:val="9"/>
    <w:semiHidden/>
    <w:rsid w:val="00190D7F"/>
    <w:rPr>
      <w:rFonts w:ascii="Cambria" w:eastAsia="Times New Roman" w:hAnsi="Cambria" w:cs="Times New Roman"/>
      <w:i/>
      <w:iCs/>
      <w:color w:val="243F6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standalone="yes" ?><Relationships xmlns="http://schemas.openxmlformats.org/package/2006/relationships"><Relationship Id="rId1" Target="../customXml/item1.xml" Type="http://schemas.openxmlformats.org/officeDocument/2006/relationships/customXml"></Relationship><Relationship Id="rId2" Target="http://www.legislation.govt.nz/act/public/2000/0024/latest/DLM58328.html" TargetMode="External" Type="http://schemas.openxmlformats.org/officeDocument/2006/relationships/hyperlink"></Relationship><Relationship Id="rId3" Target="http://www.legislation.govt.nz/act/public/2000/0024/latest/DLM58317.html" TargetMode="External" Type="http://schemas.openxmlformats.org/officeDocument/2006/relationships/hyperlink"></Relationship><Relationship Id="rId4" Target="http://www.justice.govt.nz/courts/employment-court" TargetMode="External" Type="http://schemas.openxmlformats.org/officeDocument/2006/relationships/hyperlink"></Relationship><Relationship Id="rId5" Target="http://www.era.govt.nz/" TargetMode="External" Type="http://schemas.openxmlformats.org/officeDocument/2006/relationships/hyperlink"></Relationship><Relationship Id="rId6" Target="http://www.dphu.org/uploads/attachements/books/books_5078_0.pdf" TargetMode="External" Type="http://schemas.openxmlformats.org/officeDocument/2006/relationships/hyperlink"></Relationship><Relationship Id="rId7" Target="https://employment.govt.nz/starting-employment/rights-and-responsibilities/minimum-rights-of-employees/" TargetMode="External" Type="http://schemas.openxmlformats.org/officeDocument/2006/relationships/hyperlink"></Relationship><Relationship Id="rId8" Target="https://www.business.govt.nz/hiring-and-manage/getting-the-best-from-people/resolving-employment-issues/" TargetMode="External" Type="http://schemas.openxmlformats.org/officeDocument/2006/relationships/hyperlink"></Relationship><Relationship Id="rId9" Target="http://www.legislation.govt.nz/act/public/1993/0082/latest/DLM304651.html" TargetMode="External" Type="http://schemas.openxmlformats.org/officeDocument/2006/relationships/hyperlink"></Relationship><Relationship Id="rId10" Target="https://www.employment.govt.nz/resolving-problems/types-of-problems/bullying-harassment-and-discrimination/" TargetMode="External" Type="http://schemas.openxmlformats.org/officeDocument/2006/relationships/hyperlink"></Relationship><Relationship Id="rId11" Target="http://www.worksafe.govt.nz/worksafe/news/releases/2014/worksafe-new-zealand-releases-guidelines-for-managing-workplace-bullying" TargetMode="External" Type="http://schemas.openxmlformats.org/officeDocument/2006/relationships/hyperlink"></Relationship><Relationship Id="rId12" Target="header1.xml" Type="http://schemas.openxmlformats.org/officeDocument/2006/relationships/header"></Relationship><Relationship Id="rId13" Target="header2.xml" Type="http://schemas.openxmlformats.org/officeDocument/2006/relationships/header"></Relationship><Relationship Id="rId14" Target="header3.xml" Type="http://schemas.openxmlformats.org/officeDocument/2006/relationships/header"></Relationship><Relationship Id="rId15" Target="footer1.xml" Type="http://schemas.openxmlformats.org/officeDocument/2006/relationships/footer"></Relationship><Relationship Id="rId16" Target="footer2.xml" Type="http://schemas.openxmlformats.org/officeDocument/2006/relationships/footer"></Relationship><Relationship Id="rId17" Target="footer3.xml" Type="http://schemas.openxmlformats.org/officeDocument/2006/relationships/footer"></Relationship><Relationship Id="rId18" Target="footnotes.xml" Type="http://schemas.openxmlformats.org/officeDocument/2006/relationships/footnotes"></Relationship><Relationship Id="rId19" Target="endnotes.xml" Type="http://schemas.openxmlformats.org/officeDocument/2006/relationships/endnotes"></Relationship><Relationship Id="rId20" Target="settings.xml" Type="http://schemas.openxmlformats.org/officeDocument/2006/relationships/settings"></Relationship><Relationship Id="rId21" Target="numbering.xml" Type="http://schemas.openxmlformats.org/officeDocument/2006/relationships/numbering"></Relationship><Relationship Id="rId22" Target="fontTable.xml" Type="http://schemas.openxmlformats.org/officeDocument/2006/relationships/fontTable"></Relationship><Relationship Id="rId23" Target="webSettings.xml" Type="http://schemas.openxmlformats.org/officeDocument/2006/relationships/webSettings"></Relationship><Relationship Id="rId24" Target="styles.xml" Type="http://schemas.openxmlformats.org/officeDocument/2006/relationships/styles"></Relationship><Relationship Id="rId25" Target="theme/theme1.xml" Type="http://schemas.openxmlformats.org/officeDocument/2006/relationships/theme"></Relationship></Relationships>
</file>

<file path=word/_rels/settings.xml.rels><?xml version="1.0" standalone="yes" ?><Relationships xmlns="http://schemas.openxmlformats.org/package/2006/relationships"><Relationship Id="rId1" Target="file:///C:\Users\Sarah\Documents\ndsaapril14\pandpprojectMarch2014\policies%20in%20process\poltemplate.dotm" TargetMode="External" Type="http://schemas.openxmlformats.org/officeDocument/2006/relationships/attachedTemplate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884D-A916-442F-B788-58BB45AE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poltemplate</Template>
  <Company>Hewlett-Packard</Company>
  <Pages>6</Pages>
  <Words>599</Words>
  <Characters>2354</Characters>
  <Lines>28</Lines>
  <Paragraphs>8</Paragraphs>
  <TotalTime>169</TotalTime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2689</CharactersWithSpaces>
  <SharedDoc>0</SharedDoc>
  <HLinks>
    <vt:vector size="96" baseType="variant">
      <vt:variant>
        <vt:i4>5636163</vt:i4>
      </vt:variant>
      <vt:variant>
        <vt:i4>42</vt:i4>
      </vt:variant>
      <vt:variant>
        <vt:i4>0</vt:i4>
      </vt:variant>
      <vt:variant>
        <vt:i4>5</vt:i4>
      </vt:variant>
      <vt:variant>
        <vt:lpwstr>http://www.dol.govt.nz/er/services/law/case/themes/2005-11-workplace-bullying.asp</vt:lpwstr>
      </vt:variant>
      <vt:variant>
        <vt:lpwstr/>
      </vt:variant>
      <vt:variant>
        <vt:i4>1769558</vt:i4>
      </vt:variant>
      <vt:variant>
        <vt:i4>39</vt:i4>
      </vt:variant>
      <vt:variant>
        <vt:i4>0</vt:i4>
      </vt:variant>
      <vt:variant>
        <vt:i4>5</vt:i4>
      </vt:variant>
      <vt:variant>
        <vt:lpwstr>http://www.justice.govt.nz/publications/publications-archived/2002/the-non-discrimination-standards-for-government-and-the-public-sector-guidelines-on-how-to-apply-the-standards-and-who-is-covered-march-2002/racial-harassment</vt:lpwstr>
      </vt:variant>
      <vt:variant>
        <vt:lpwstr/>
      </vt:variant>
      <vt:variant>
        <vt:i4>1441810</vt:i4>
      </vt:variant>
      <vt:variant>
        <vt:i4>36</vt:i4>
      </vt:variant>
      <vt:variant>
        <vt:i4>0</vt:i4>
      </vt:variant>
      <vt:variant>
        <vt:i4>5</vt:i4>
      </vt:variant>
      <vt:variant>
        <vt:lpwstr>http://www.cab.org.nz/vat/gl/roi/Pages/DiscriminationandHumanRights.aspx</vt:lpwstr>
      </vt:variant>
      <vt:variant>
        <vt:lpwstr/>
      </vt:variant>
      <vt:variant>
        <vt:i4>196684</vt:i4>
      </vt:variant>
      <vt:variant>
        <vt:i4>33</vt:i4>
      </vt:variant>
      <vt:variant>
        <vt:i4>0</vt:i4>
      </vt:variant>
      <vt:variant>
        <vt:i4>5</vt:i4>
      </vt:variant>
      <vt:variant>
        <vt:lpwstr>http://www.justice.govt.nz/publications/publications-archived/2002/the-non-discrimination-standards-for-government-and-the-public-sector-guidelines-on-how-to-apply-the-standards-and-who-is-covered-march-2002/sexual-harassment</vt:lpwstr>
      </vt:variant>
      <vt:variant>
        <vt:lpwstr/>
      </vt:variant>
      <vt:variant>
        <vt:i4>3997793</vt:i4>
      </vt:variant>
      <vt:variant>
        <vt:i4>30</vt:i4>
      </vt:variant>
      <vt:variant>
        <vt:i4>0</vt:i4>
      </vt:variant>
      <vt:variant>
        <vt:i4>5</vt:i4>
      </vt:variant>
      <vt:variant>
        <vt:lpwstr>http://www.justice.govt.nz/courts/employment-court</vt:lpwstr>
      </vt:variant>
      <vt:variant>
        <vt:lpwstr/>
      </vt:variant>
      <vt:variant>
        <vt:i4>6946937</vt:i4>
      </vt:variant>
      <vt:variant>
        <vt:i4>27</vt:i4>
      </vt:variant>
      <vt:variant>
        <vt:i4>0</vt:i4>
      </vt:variant>
      <vt:variant>
        <vt:i4>5</vt:i4>
      </vt:variant>
      <vt:variant>
        <vt:lpwstr>http://www.era.govt.nz/</vt:lpwstr>
      </vt:variant>
      <vt:variant>
        <vt:lpwstr/>
      </vt:variant>
      <vt:variant>
        <vt:i4>7536755</vt:i4>
      </vt:variant>
      <vt:variant>
        <vt:i4>24</vt:i4>
      </vt:variant>
      <vt:variant>
        <vt:i4>0</vt:i4>
      </vt:variant>
      <vt:variant>
        <vt:i4>5</vt:i4>
      </vt:variant>
      <vt:variant>
        <vt:lpwstr>http://www.business.govt.nz/worksafe/information-guidance/all-guidance-items/bullying-guidelines/workplace-bullying</vt:lpwstr>
      </vt:variant>
      <vt:variant>
        <vt:lpwstr/>
      </vt:variant>
      <vt:variant>
        <vt:i4>2949227</vt:i4>
      </vt:variant>
      <vt:variant>
        <vt:i4>21</vt:i4>
      </vt:variant>
      <vt:variant>
        <vt:i4>0</vt:i4>
      </vt:variant>
      <vt:variant>
        <vt:i4>5</vt:i4>
      </vt:variant>
      <vt:variant>
        <vt:lpwstr>http://www.dol.govt.nz/er/solvingproblems/Solving problems.pdf</vt:lpwstr>
      </vt:variant>
      <vt:variant>
        <vt:lpwstr/>
      </vt:variant>
      <vt:variant>
        <vt:i4>1310813</vt:i4>
      </vt:variant>
      <vt:variant>
        <vt:i4>18</vt:i4>
      </vt:variant>
      <vt:variant>
        <vt:i4>0</vt:i4>
      </vt:variant>
      <vt:variant>
        <vt:i4>5</vt:i4>
      </vt:variant>
      <vt:variant>
        <vt:lpwstr>http://www.dol.govt.nz/er/compliance-policy/2011CompliancePolicy.pdf</vt:lpwstr>
      </vt:variant>
      <vt:variant>
        <vt:lpwstr/>
      </vt:variant>
      <vt:variant>
        <vt:i4>4915277</vt:i4>
      </vt:variant>
      <vt:variant>
        <vt:i4>15</vt:i4>
      </vt:variant>
      <vt:variant>
        <vt:i4>0</vt:i4>
      </vt:variant>
      <vt:variant>
        <vt:i4>5</vt:i4>
      </vt:variant>
      <vt:variant>
        <vt:lpwstr>http://www.dol.govt.nz/er/services/index.asp</vt:lpwstr>
      </vt:variant>
      <vt:variant>
        <vt:lpwstr/>
      </vt:variant>
      <vt:variant>
        <vt:i4>4259932</vt:i4>
      </vt:variant>
      <vt:variant>
        <vt:i4>12</vt:i4>
      </vt:variant>
      <vt:variant>
        <vt:i4>0</vt:i4>
      </vt:variant>
      <vt:variant>
        <vt:i4>5</vt:i4>
      </vt:variant>
      <vt:variant>
        <vt:lpwstr>http://www.dol.govt.nz/er/minimumrights/index.asp</vt:lpwstr>
      </vt:variant>
      <vt:variant>
        <vt:lpwstr/>
      </vt:variant>
      <vt:variant>
        <vt:i4>4194399</vt:i4>
      </vt:variant>
      <vt:variant>
        <vt:i4>9</vt:i4>
      </vt:variant>
      <vt:variant>
        <vt:i4>0</vt:i4>
      </vt:variant>
      <vt:variant>
        <vt:i4>5</vt:i4>
      </vt:variant>
      <vt:variant>
        <vt:lpwstr>http://www.dol.govt.nz/er/starting/relationships/Employment Relationships.pdf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http://www.dol.govt.nz/er/services/law/statutes.asp</vt:lpwstr>
      </vt:variant>
      <vt:variant>
        <vt:lpwstr/>
      </vt:variant>
      <vt:variant>
        <vt:i4>5898332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http://www.legislation.govt.nz/act/public/2000/0024/latest/DLM58317.html</vt:lpwstr>
      </vt:variant>
      <vt:variant>
        <vt:lpwstr/>
      </vt:variant>
      <vt:variant>
        <vt:i4>786520</vt:i4>
      </vt:variant>
      <vt:variant>
        <vt:i4>0</vt:i4>
      </vt:variant>
      <vt:variant>
        <vt:i4>0</vt:i4>
      </vt:variant>
      <vt:variant>
        <vt:i4>5</vt:i4>
      </vt:variant>
      <vt:variant>
        <vt:lpwstr>http://www.dol.govt.nz/er/solvingproblems/keyprinciples/goodfaith.asp</vt:lpwstr>
      </vt:variant>
      <vt:variant>
        <vt:lpwstr/>
      </vt:variant>
      <vt:variant>
        <vt:i4>6029403</vt:i4>
      </vt:variant>
      <vt:variant>
        <vt:i4>0</vt:i4>
      </vt:variant>
      <vt:variant>
        <vt:i4>0</vt:i4>
      </vt:variant>
      <vt:variant>
        <vt:i4>5</vt:i4>
      </vt:variant>
      <vt:variant>
        <vt:lpwstr>http://www.dol.govt.nz/workplace/knowledgebase/item/1297</vt:lpwstr>
      </vt:variant>
      <vt:variant>
        <vt:lpwstr/>
      </vt:variant>
    </vt:vector>
  </HLinks>
  <HyperlinksChanged>0</HyperlinksChanged>
  <Application>Microsoft Office Word</Application>
  <AppVersion>15.0000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30</cp:revision>
  <dcterms:created xsi:type="dcterms:W3CDTF">2017-03-29T05:05:00Z</dcterms:created>
  <dcterms:modified xsi:type="dcterms:W3CDTF">2017-03-31T06:58:00Z</dcterms:modified>
</cp:coreProperties>
</file>