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8C4" w:rsidRPr="00CB38C4" w:rsidRDefault="00CB38C4" w:rsidP="00CB38C4">
      <w:pPr>
        <w:rPr>
          <w:rFonts w:asciiTheme="minorHAnsi" w:hAnsiTheme="minorHAnsi" w:cstheme="minorHAnsi"/>
          <w:szCs w:val="22"/>
        </w:rPr>
      </w:pPr>
      <w:bookmarkStart w:id="0" w:name="_GoBack"/>
      <w:bookmarkEnd w:id="0"/>
      <w:r w:rsidRPr="00CB38C4">
        <w:rPr>
          <w:rFonts w:asciiTheme="minorHAnsi" w:hAnsiTheme="minorHAnsi" w:cstheme="minorHAnsi"/>
          <w:szCs w:val="22"/>
        </w:rPr>
        <w:t>This checklist has been developed to assist those responsible for developing and maintaining health service emergency plans, programmes and capabilities. The checklist draws on requirements from the National Health Emergency Plan and National CDEM Plan and Guide.</w:t>
      </w:r>
    </w:p>
    <w:p w:rsidR="00CB38C4" w:rsidRPr="00CB38C4" w:rsidRDefault="00CB38C4" w:rsidP="00CB38C4">
      <w:pPr>
        <w:rPr>
          <w:rFonts w:asciiTheme="minorHAnsi" w:hAnsiTheme="minorHAnsi" w:cstheme="minorHAnsi"/>
          <w:szCs w:val="22"/>
        </w:rPr>
      </w:pPr>
    </w:p>
    <w:p w:rsidR="00CB38C4" w:rsidRPr="00CB38C4" w:rsidRDefault="00CB38C4" w:rsidP="00CB38C4">
      <w:pPr>
        <w:tabs>
          <w:tab w:val="right" w:leader="underscore" w:pos="9355"/>
        </w:tabs>
        <w:rPr>
          <w:rFonts w:asciiTheme="minorHAnsi" w:hAnsiTheme="minorHAnsi" w:cstheme="minorHAnsi"/>
          <w:szCs w:val="22"/>
        </w:rPr>
      </w:pPr>
      <w:r w:rsidRPr="00CB38C4">
        <w:rPr>
          <w:rFonts w:asciiTheme="minorHAnsi" w:hAnsiTheme="minorHAnsi" w:cstheme="minorHAnsi"/>
          <w:szCs w:val="22"/>
        </w:rPr>
        <w:t>Name of health service (cluster or grouping):</w:t>
      </w:r>
      <w:r w:rsidRPr="00CB38C4">
        <w:rPr>
          <w:rFonts w:asciiTheme="minorHAnsi" w:hAnsiTheme="minorHAnsi" w:cstheme="minorHAnsi"/>
          <w:szCs w:val="22"/>
        </w:rPr>
        <w:tab/>
      </w:r>
    </w:p>
    <w:p w:rsidR="00CB38C4" w:rsidRPr="00CB38C4" w:rsidRDefault="00CB38C4" w:rsidP="00CB38C4">
      <w:pPr>
        <w:tabs>
          <w:tab w:val="right" w:leader="underscore" w:pos="9355"/>
        </w:tabs>
        <w:spacing w:before="120"/>
        <w:rPr>
          <w:rFonts w:asciiTheme="minorHAnsi" w:hAnsiTheme="minorHAnsi" w:cstheme="minorHAnsi"/>
          <w:szCs w:val="22"/>
        </w:rPr>
      </w:pPr>
      <w:r w:rsidRPr="00CB38C4">
        <w:rPr>
          <w:rFonts w:asciiTheme="minorHAnsi" w:hAnsiTheme="minorHAnsi" w:cstheme="minorHAnsi"/>
          <w:szCs w:val="22"/>
        </w:rPr>
        <w:t>Date of assessment:</w:t>
      </w:r>
      <w:r w:rsidRPr="00CB38C4">
        <w:rPr>
          <w:rFonts w:asciiTheme="minorHAnsi" w:hAnsiTheme="minorHAnsi" w:cstheme="minorHAnsi"/>
          <w:szCs w:val="22"/>
        </w:rPr>
        <w:tab/>
      </w:r>
    </w:p>
    <w:p w:rsidR="00CB38C4" w:rsidRPr="00CB38C4" w:rsidRDefault="00CB38C4" w:rsidP="00CB38C4">
      <w:pPr>
        <w:tabs>
          <w:tab w:val="right" w:leader="underscore" w:pos="6237"/>
          <w:tab w:val="left" w:pos="6379"/>
          <w:tab w:val="right" w:leader="underscore" w:pos="9355"/>
        </w:tabs>
        <w:spacing w:before="120"/>
        <w:rPr>
          <w:rFonts w:asciiTheme="minorHAnsi" w:hAnsiTheme="minorHAnsi" w:cstheme="minorHAnsi"/>
          <w:szCs w:val="22"/>
        </w:rPr>
      </w:pPr>
      <w:r w:rsidRPr="00CB38C4">
        <w:rPr>
          <w:rFonts w:asciiTheme="minorHAnsi" w:hAnsiTheme="minorHAnsi" w:cstheme="minorHAnsi"/>
          <w:szCs w:val="22"/>
        </w:rPr>
        <w:t>Date of current emergency management plan:</w:t>
      </w:r>
      <w:r w:rsidRPr="00CB38C4">
        <w:rPr>
          <w:rFonts w:asciiTheme="minorHAnsi" w:hAnsiTheme="minorHAnsi" w:cstheme="minorHAnsi"/>
          <w:szCs w:val="22"/>
        </w:rPr>
        <w:tab/>
      </w:r>
      <w:r w:rsidRPr="00CB38C4">
        <w:rPr>
          <w:rFonts w:asciiTheme="minorHAnsi" w:hAnsiTheme="minorHAnsi" w:cstheme="minorHAnsi"/>
          <w:szCs w:val="22"/>
        </w:rPr>
        <w:tab/>
        <w:t>Date for review:</w:t>
      </w:r>
      <w:r w:rsidRPr="00CB38C4">
        <w:rPr>
          <w:rFonts w:asciiTheme="minorHAnsi" w:hAnsiTheme="minorHAnsi" w:cstheme="minorHAnsi"/>
          <w:szCs w:val="22"/>
        </w:rPr>
        <w:tab/>
      </w:r>
    </w:p>
    <w:p w:rsidR="00CB38C4" w:rsidRPr="00CB38C4" w:rsidRDefault="00CB38C4" w:rsidP="00CB38C4">
      <w:pPr>
        <w:tabs>
          <w:tab w:val="right" w:leader="underscore" w:pos="4820"/>
          <w:tab w:val="left" w:pos="4962"/>
          <w:tab w:val="right" w:leader="underscore" w:pos="9355"/>
        </w:tabs>
        <w:spacing w:before="120"/>
        <w:rPr>
          <w:rFonts w:asciiTheme="minorHAnsi" w:hAnsiTheme="minorHAnsi" w:cstheme="minorHAnsi"/>
          <w:szCs w:val="22"/>
        </w:rPr>
      </w:pPr>
      <w:r w:rsidRPr="00CB38C4">
        <w:rPr>
          <w:rFonts w:asciiTheme="minorHAnsi" w:hAnsiTheme="minorHAnsi" w:cstheme="minorHAnsi"/>
          <w:szCs w:val="22"/>
        </w:rPr>
        <w:t>Chief Executive:</w:t>
      </w:r>
      <w:r w:rsidRPr="00CB38C4">
        <w:rPr>
          <w:rFonts w:asciiTheme="minorHAnsi" w:hAnsiTheme="minorHAnsi" w:cstheme="minorHAnsi"/>
          <w:szCs w:val="22"/>
        </w:rPr>
        <w:tab/>
      </w:r>
      <w:r w:rsidRPr="00CB38C4">
        <w:rPr>
          <w:rFonts w:asciiTheme="minorHAnsi" w:hAnsiTheme="minorHAnsi" w:cstheme="minorHAnsi"/>
          <w:szCs w:val="22"/>
        </w:rPr>
        <w:tab/>
        <w:t>Executive lead for assessment:</w:t>
      </w:r>
      <w:r w:rsidRPr="00CB38C4">
        <w:rPr>
          <w:rFonts w:asciiTheme="minorHAnsi" w:hAnsiTheme="minorHAnsi" w:cstheme="minorHAnsi"/>
          <w:szCs w:val="22"/>
        </w:rPr>
        <w:tab/>
      </w:r>
    </w:p>
    <w:p w:rsidR="00CB38C4" w:rsidRPr="00CB38C4" w:rsidRDefault="00CB38C4" w:rsidP="00CB38C4">
      <w:pPr>
        <w:tabs>
          <w:tab w:val="right" w:leader="underscore" w:pos="9355"/>
        </w:tabs>
        <w:spacing w:before="120"/>
        <w:rPr>
          <w:rFonts w:asciiTheme="minorHAnsi" w:hAnsiTheme="minorHAnsi" w:cstheme="minorHAnsi"/>
          <w:szCs w:val="22"/>
        </w:rPr>
      </w:pPr>
      <w:r w:rsidRPr="00CB38C4">
        <w:rPr>
          <w:rFonts w:asciiTheme="minorHAnsi" w:hAnsiTheme="minorHAnsi" w:cstheme="minorHAnsi"/>
          <w:szCs w:val="22"/>
        </w:rPr>
        <w:t xml:space="preserve">Overall comments and feedback: </w:t>
      </w:r>
      <w:r w:rsidRPr="00CB38C4">
        <w:rPr>
          <w:rFonts w:asciiTheme="minorHAnsi" w:hAnsiTheme="minorHAnsi" w:cstheme="minorHAnsi"/>
          <w:szCs w:val="22"/>
        </w:rPr>
        <w:tab/>
      </w:r>
    </w:p>
    <w:p w:rsidR="00CB38C4" w:rsidRPr="00CB38C4" w:rsidRDefault="00CB38C4" w:rsidP="00CB38C4">
      <w:pPr>
        <w:rPr>
          <w:rFonts w:asciiTheme="minorHAnsi" w:hAnsiTheme="minorHAnsi" w:cstheme="minorHAnsi"/>
          <w:szCs w:val="22"/>
        </w:rPr>
      </w:pPr>
    </w:p>
    <w:p w:rsidR="00CB38C4" w:rsidRPr="00CB38C4" w:rsidRDefault="00CB38C4" w:rsidP="00CB38C4">
      <w:pPr>
        <w:pStyle w:val="Heading3"/>
        <w:rPr>
          <w:rFonts w:asciiTheme="minorHAnsi" w:hAnsiTheme="minorHAnsi" w:cstheme="minorHAnsi"/>
          <w:sz w:val="22"/>
          <w:szCs w:val="22"/>
        </w:rPr>
      </w:pPr>
      <w:r w:rsidRPr="00CB38C4">
        <w:rPr>
          <w:rFonts w:asciiTheme="minorHAnsi" w:hAnsiTheme="minorHAnsi" w:cstheme="minorHAnsi"/>
          <w:sz w:val="22"/>
          <w:szCs w:val="22"/>
        </w:rPr>
        <w:t>Assessment criteria</w:t>
      </w:r>
    </w:p>
    <w:p w:rsidR="00CB38C4" w:rsidRPr="00CB38C4" w:rsidRDefault="00CB38C4" w:rsidP="00CB38C4">
      <w:pPr>
        <w:spacing w:before="120"/>
        <w:rPr>
          <w:rFonts w:asciiTheme="minorHAnsi" w:hAnsiTheme="minorHAnsi" w:cstheme="minorHAnsi"/>
          <w:szCs w:val="22"/>
        </w:rPr>
      </w:pPr>
      <w:r w:rsidRPr="00CB38C4">
        <w:rPr>
          <w:rFonts w:asciiTheme="minorHAnsi" w:hAnsiTheme="minorHAnsi" w:cstheme="minorHAnsi"/>
          <w:szCs w:val="22"/>
        </w:rPr>
        <w:t>Rating:</w:t>
      </w:r>
    </w:p>
    <w:p w:rsidR="00CB38C4" w:rsidRPr="00CB38C4" w:rsidRDefault="00CB38C4" w:rsidP="00CB38C4">
      <w:pPr>
        <w:tabs>
          <w:tab w:val="left" w:pos="284"/>
          <w:tab w:val="left" w:pos="567"/>
        </w:tabs>
        <w:rPr>
          <w:rFonts w:asciiTheme="minorHAnsi" w:hAnsiTheme="minorHAnsi" w:cstheme="minorHAnsi"/>
          <w:szCs w:val="22"/>
        </w:rPr>
      </w:pPr>
      <w:r w:rsidRPr="00CB38C4">
        <w:rPr>
          <w:rFonts w:asciiTheme="minorHAnsi" w:hAnsiTheme="minorHAnsi" w:cstheme="minorHAnsi"/>
          <w:szCs w:val="22"/>
        </w:rPr>
        <w:t>0</w:t>
      </w:r>
      <w:r w:rsidRPr="00CB38C4">
        <w:rPr>
          <w:rFonts w:asciiTheme="minorHAnsi" w:hAnsiTheme="minorHAnsi" w:cstheme="minorHAnsi"/>
          <w:szCs w:val="22"/>
        </w:rPr>
        <w:tab/>
        <w:t>=</w:t>
      </w:r>
      <w:r w:rsidRPr="00CB38C4">
        <w:rPr>
          <w:rFonts w:asciiTheme="minorHAnsi" w:hAnsiTheme="minorHAnsi" w:cstheme="minorHAnsi"/>
          <w:szCs w:val="22"/>
        </w:rPr>
        <w:tab/>
      </w:r>
      <w:proofErr w:type="gramStart"/>
      <w:r w:rsidRPr="00CB38C4">
        <w:rPr>
          <w:rFonts w:asciiTheme="minorHAnsi" w:hAnsiTheme="minorHAnsi" w:cstheme="minorHAnsi"/>
          <w:szCs w:val="22"/>
        </w:rPr>
        <w:t>None</w:t>
      </w:r>
      <w:proofErr w:type="gramEnd"/>
      <w:r w:rsidRPr="00CB38C4">
        <w:rPr>
          <w:rFonts w:asciiTheme="minorHAnsi" w:hAnsiTheme="minorHAnsi" w:cstheme="minorHAnsi"/>
          <w:szCs w:val="22"/>
        </w:rPr>
        <w:t xml:space="preserve"> apparent</w:t>
      </w:r>
    </w:p>
    <w:p w:rsidR="00CB38C4" w:rsidRPr="00CB38C4" w:rsidRDefault="00CB38C4" w:rsidP="00CB38C4">
      <w:pPr>
        <w:tabs>
          <w:tab w:val="left" w:pos="284"/>
          <w:tab w:val="left" w:pos="567"/>
        </w:tabs>
        <w:rPr>
          <w:rFonts w:asciiTheme="minorHAnsi" w:hAnsiTheme="minorHAnsi" w:cstheme="minorHAnsi"/>
          <w:szCs w:val="22"/>
        </w:rPr>
      </w:pPr>
      <w:r w:rsidRPr="00CB38C4">
        <w:rPr>
          <w:rFonts w:asciiTheme="minorHAnsi" w:hAnsiTheme="minorHAnsi" w:cstheme="minorHAnsi"/>
          <w:szCs w:val="22"/>
        </w:rPr>
        <w:t>1</w:t>
      </w:r>
      <w:r w:rsidRPr="00CB38C4">
        <w:rPr>
          <w:rFonts w:asciiTheme="minorHAnsi" w:hAnsiTheme="minorHAnsi" w:cstheme="minorHAnsi"/>
          <w:szCs w:val="22"/>
        </w:rPr>
        <w:tab/>
        <w:t>=</w:t>
      </w:r>
      <w:r w:rsidRPr="00CB38C4">
        <w:rPr>
          <w:rFonts w:asciiTheme="minorHAnsi" w:hAnsiTheme="minorHAnsi" w:cstheme="minorHAnsi"/>
          <w:szCs w:val="22"/>
        </w:rPr>
        <w:tab/>
        <w:t>Not compliant – ineffective</w:t>
      </w:r>
    </w:p>
    <w:p w:rsidR="00CB38C4" w:rsidRPr="00CB38C4" w:rsidRDefault="00CB38C4" w:rsidP="00CB38C4">
      <w:pPr>
        <w:tabs>
          <w:tab w:val="left" w:pos="284"/>
          <w:tab w:val="left" w:pos="567"/>
        </w:tabs>
        <w:rPr>
          <w:rFonts w:asciiTheme="minorHAnsi" w:hAnsiTheme="minorHAnsi" w:cstheme="minorHAnsi"/>
          <w:szCs w:val="22"/>
        </w:rPr>
      </w:pPr>
      <w:r w:rsidRPr="00CB38C4">
        <w:rPr>
          <w:rFonts w:asciiTheme="minorHAnsi" w:hAnsiTheme="minorHAnsi" w:cstheme="minorHAnsi"/>
          <w:szCs w:val="22"/>
        </w:rPr>
        <w:t>2</w:t>
      </w:r>
      <w:r w:rsidRPr="00CB38C4">
        <w:rPr>
          <w:rFonts w:asciiTheme="minorHAnsi" w:hAnsiTheme="minorHAnsi" w:cstheme="minorHAnsi"/>
          <w:szCs w:val="22"/>
        </w:rPr>
        <w:tab/>
        <w:t>=</w:t>
      </w:r>
      <w:r w:rsidRPr="00CB38C4">
        <w:rPr>
          <w:rFonts w:asciiTheme="minorHAnsi" w:hAnsiTheme="minorHAnsi" w:cstheme="minorHAnsi"/>
          <w:szCs w:val="22"/>
        </w:rPr>
        <w:tab/>
      </w:r>
      <w:proofErr w:type="gramStart"/>
      <w:r w:rsidRPr="00CB38C4">
        <w:rPr>
          <w:rFonts w:asciiTheme="minorHAnsi" w:hAnsiTheme="minorHAnsi" w:cstheme="minorHAnsi"/>
          <w:szCs w:val="22"/>
        </w:rPr>
        <w:t>Marginally</w:t>
      </w:r>
      <w:proofErr w:type="gramEnd"/>
      <w:r w:rsidRPr="00CB38C4">
        <w:rPr>
          <w:rFonts w:asciiTheme="minorHAnsi" w:hAnsiTheme="minorHAnsi" w:cstheme="minorHAnsi"/>
          <w:szCs w:val="22"/>
        </w:rPr>
        <w:t xml:space="preserve"> compliant – marginally effective</w:t>
      </w:r>
    </w:p>
    <w:p w:rsidR="00CB38C4" w:rsidRPr="00CB38C4" w:rsidRDefault="00CB38C4" w:rsidP="00CB38C4">
      <w:pPr>
        <w:tabs>
          <w:tab w:val="left" w:pos="284"/>
          <w:tab w:val="left" w:pos="567"/>
        </w:tabs>
        <w:rPr>
          <w:rFonts w:asciiTheme="minorHAnsi" w:hAnsiTheme="minorHAnsi" w:cstheme="minorHAnsi"/>
          <w:szCs w:val="22"/>
        </w:rPr>
      </w:pPr>
      <w:r w:rsidRPr="00CB38C4">
        <w:rPr>
          <w:rFonts w:asciiTheme="minorHAnsi" w:hAnsiTheme="minorHAnsi" w:cstheme="minorHAnsi"/>
          <w:szCs w:val="22"/>
        </w:rPr>
        <w:t>3</w:t>
      </w:r>
      <w:r w:rsidRPr="00CB38C4">
        <w:rPr>
          <w:rFonts w:asciiTheme="minorHAnsi" w:hAnsiTheme="minorHAnsi" w:cstheme="minorHAnsi"/>
          <w:szCs w:val="22"/>
        </w:rPr>
        <w:tab/>
        <w:t>=</w:t>
      </w:r>
      <w:r w:rsidRPr="00CB38C4">
        <w:rPr>
          <w:rFonts w:asciiTheme="minorHAnsi" w:hAnsiTheme="minorHAnsi" w:cstheme="minorHAnsi"/>
          <w:szCs w:val="22"/>
        </w:rPr>
        <w:tab/>
      </w:r>
      <w:proofErr w:type="gramStart"/>
      <w:r w:rsidRPr="00CB38C4">
        <w:rPr>
          <w:rFonts w:asciiTheme="minorHAnsi" w:hAnsiTheme="minorHAnsi" w:cstheme="minorHAnsi"/>
          <w:szCs w:val="22"/>
        </w:rPr>
        <w:t>Acceptably</w:t>
      </w:r>
      <w:proofErr w:type="gramEnd"/>
      <w:r w:rsidRPr="00CB38C4">
        <w:rPr>
          <w:rFonts w:asciiTheme="minorHAnsi" w:hAnsiTheme="minorHAnsi" w:cstheme="minorHAnsi"/>
          <w:szCs w:val="22"/>
        </w:rPr>
        <w:t xml:space="preserve"> compliant and effective in relation to minor risks</w:t>
      </w:r>
    </w:p>
    <w:p w:rsidR="00CB38C4" w:rsidRPr="00CB38C4" w:rsidRDefault="00CB38C4" w:rsidP="00CB38C4">
      <w:pPr>
        <w:tabs>
          <w:tab w:val="left" w:pos="284"/>
          <w:tab w:val="left" w:pos="567"/>
        </w:tabs>
        <w:rPr>
          <w:rFonts w:asciiTheme="minorHAnsi" w:hAnsiTheme="minorHAnsi" w:cstheme="minorHAnsi"/>
          <w:szCs w:val="22"/>
        </w:rPr>
      </w:pPr>
      <w:r w:rsidRPr="00CB38C4">
        <w:rPr>
          <w:rFonts w:asciiTheme="minorHAnsi" w:hAnsiTheme="minorHAnsi" w:cstheme="minorHAnsi"/>
          <w:szCs w:val="22"/>
        </w:rPr>
        <w:t>4</w:t>
      </w:r>
      <w:r w:rsidRPr="00CB38C4">
        <w:rPr>
          <w:rFonts w:asciiTheme="minorHAnsi" w:hAnsiTheme="minorHAnsi" w:cstheme="minorHAnsi"/>
          <w:szCs w:val="22"/>
        </w:rPr>
        <w:tab/>
        <w:t>=</w:t>
      </w:r>
      <w:r w:rsidRPr="00CB38C4">
        <w:rPr>
          <w:rFonts w:asciiTheme="minorHAnsi" w:hAnsiTheme="minorHAnsi" w:cstheme="minorHAnsi"/>
          <w:szCs w:val="22"/>
        </w:rPr>
        <w:tab/>
      </w:r>
      <w:proofErr w:type="gramStart"/>
      <w:r w:rsidRPr="00CB38C4">
        <w:rPr>
          <w:rFonts w:asciiTheme="minorHAnsi" w:hAnsiTheme="minorHAnsi" w:cstheme="minorHAnsi"/>
          <w:szCs w:val="22"/>
        </w:rPr>
        <w:t>Largely</w:t>
      </w:r>
      <w:proofErr w:type="gramEnd"/>
      <w:r w:rsidRPr="00CB38C4">
        <w:rPr>
          <w:rFonts w:asciiTheme="minorHAnsi" w:hAnsiTheme="minorHAnsi" w:cstheme="minorHAnsi"/>
          <w:szCs w:val="22"/>
        </w:rPr>
        <w:t xml:space="preserve"> compliant – likely to be effective in medium-scale incidents</w:t>
      </w:r>
    </w:p>
    <w:p w:rsidR="00CB38C4" w:rsidRPr="00CB38C4" w:rsidRDefault="00CB38C4" w:rsidP="00CB38C4">
      <w:pPr>
        <w:tabs>
          <w:tab w:val="left" w:pos="284"/>
          <w:tab w:val="left" w:pos="567"/>
        </w:tabs>
        <w:spacing w:after="120"/>
        <w:rPr>
          <w:rFonts w:asciiTheme="minorHAnsi" w:hAnsiTheme="minorHAnsi" w:cstheme="minorHAnsi"/>
          <w:szCs w:val="22"/>
        </w:rPr>
      </w:pPr>
      <w:r w:rsidRPr="00CB38C4">
        <w:rPr>
          <w:rFonts w:asciiTheme="minorHAnsi" w:hAnsiTheme="minorHAnsi" w:cstheme="minorHAnsi"/>
          <w:szCs w:val="22"/>
        </w:rPr>
        <w:t>5</w:t>
      </w:r>
      <w:r w:rsidRPr="00CB38C4">
        <w:rPr>
          <w:rFonts w:asciiTheme="minorHAnsi" w:hAnsiTheme="minorHAnsi" w:cstheme="minorHAnsi"/>
          <w:szCs w:val="22"/>
        </w:rPr>
        <w:tab/>
        <w:t>=</w:t>
      </w:r>
      <w:r w:rsidRPr="00CB38C4">
        <w:rPr>
          <w:rFonts w:asciiTheme="minorHAnsi" w:hAnsiTheme="minorHAnsi" w:cstheme="minorHAnsi"/>
          <w:szCs w:val="22"/>
        </w:rPr>
        <w:tab/>
      </w:r>
      <w:proofErr w:type="gramStart"/>
      <w:r w:rsidRPr="00CB38C4">
        <w:rPr>
          <w:rFonts w:asciiTheme="minorHAnsi" w:hAnsiTheme="minorHAnsi" w:cstheme="minorHAnsi"/>
          <w:szCs w:val="22"/>
        </w:rPr>
        <w:t>Fully</w:t>
      </w:r>
      <w:proofErr w:type="gramEnd"/>
      <w:r w:rsidRPr="00CB38C4">
        <w:rPr>
          <w:rFonts w:asciiTheme="minorHAnsi" w:hAnsiTheme="minorHAnsi" w:cstheme="minorHAnsi"/>
          <w:szCs w:val="22"/>
        </w:rPr>
        <w:t xml:space="preserve"> compliant – likely to be effective in relation to significant risks</w:t>
      </w:r>
    </w:p>
    <w:tbl>
      <w:tblPr>
        <w:tblW w:w="0" w:type="auto"/>
        <w:tblInd w:w="108"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4416"/>
        <w:gridCol w:w="970"/>
        <w:gridCol w:w="3970"/>
      </w:tblGrid>
      <w:tr w:rsidR="00CB38C4" w:rsidRPr="00CF2F51" w:rsidTr="0010465B">
        <w:trPr>
          <w:cantSplit/>
          <w:tblHeader/>
        </w:trPr>
        <w:tc>
          <w:tcPr>
            <w:tcW w:w="4416" w:type="dxa"/>
            <w:shd w:val="clear" w:color="auto" w:fill="B8CCE4"/>
          </w:tcPr>
          <w:p w:rsidR="00CB38C4" w:rsidRPr="00CF2F51" w:rsidRDefault="00CB38C4" w:rsidP="0010465B">
            <w:pPr>
              <w:pStyle w:val="TableText"/>
              <w:rPr>
                <w:b/>
              </w:rPr>
            </w:pPr>
            <w:r w:rsidRPr="00CF2F51">
              <w:rPr>
                <w:b/>
              </w:rPr>
              <w:t>Question</w:t>
            </w:r>
          </w:p>
        </w:tc>
        <w:tc>
          <w:tcPr>
            <w:tcW w:w="970" w:type="dxa"/>
            <w:shd w:val="clear" w:color="auto" w:fill="B8CCE4"/>
          </w:tcPr>
          <w:p w:rsidR="00CB38C4" w:rsidRPr="00CF2F51" w:rsidRDefault="00CB38C4" w:rsidP="0010465B">
            <w:pPr>
              <w:pStyle w:val="TableText"/>
              <w:jc w:val="center"/>
              <w:rPr>
                <w:b/>
              </w:rPr>
            </w:pPr>
            <w:r w:rsidRPr="00CF2F51">
              <w:rPr>
                <w:b/>
              </w:rPr>
              <w:t>Rating 0–5</w:t>
            </w:r>
          </w:p>
        </w:tc>
        <w:tc>
          <w:tcPr>
            <w:tcW w:w="3970" w:type="dxa"/>
            <w:shd w:val="clear" w:color="auto" w:fill="B8CCE4"/>
          </w:tcPr>
          <w:p w:rsidR="00CB38C4" w:rsidRPr="00CF2F51" w:rsidRDefault="00CB38C4" w:rsidP="0010465B">
            <w:pPr>
              <w:pStyle w:val="TableText"/>
              <w:rPr>
                <w:b/>
              </w:rPr>
            </w:pPr>
            <w:r w:rsidRPr="00CF2F51">
              <w:rPr>
                <w:b/>
              </w:rPr>
              <w:t>Comments</w:t>
            </w: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w:t>
            </w:r>
            <w:r>
              <w:tab/>
            </w:r>
            <w:r w:rsidRPr="00E301B8">
              <w:t>Evidence of governance/senior executive ownership of emergency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2.</w:t>
            </w:r>
            <w:r>
              <w:tab/>
            </w:r>
            <w:r w:rsidRPr="00E301B8">
              <w:t>Responsibilities of executive in delivering comprehensive emergency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tcBorders>
              <w:bottom w:val="single" w:sz="4" w:space="0" w:color="B8CCE4"/>
            </w:tcBorders>
            <w:shd w:val="clear" w:color="auto" w:fill="auto"/>
          </w:tcPr>
          <w:p w:rsidR="00CB38C4" w:rsidRPr="00E301B8" w:rsidRDefault="00CB38C4" w:rsidP="0010465B">
            <w:pPr>
              <w:pStyle w:val="TableText"/>
              <w:ind w:left="425" w:hanging="425"/>
            </w:pPr>
            <w:r>
              <w:t>3.</w:t>
            </w:r>
            <w:r>
              <w:tab/>
            </w:r>
            <w:r w:rsidRPr="00E301B8">
              <w:t>Risk analysis supporting emergency management planning</w:t>
            </w:r>
          </w:p>
        </w:tc>
        <w:tc>
          <w:tcPr>
            <w:tcW w:w="970" w:type="dxa"/>
            <w:tcBorders>
              <w:bottom w:val="single" w:sz="4" w:space="0" w:color="B8CCE4"/>
            </w:tcBorders>
            <w:shd w:val="clear" w:color="auto" w:fill="auto"/>
          </w:tcPr>
          <w:p w:rsidR="00CB38C4" w:rsidRPr="00E301B8" w:rsidRDefault="00CB38C4" w:rsidP="0010465B">
            <w:pPr>
              <w:pStyle w:val="TableText"/>
              <w:jc w:val="center"/>
            </w:pPr>
          </w:p>
        </w:tc>
        <w:tc>
          <w:tcPr>
            <w:tcW w:w="3970" w:type="dxa"/>
            <w:tcBorders>
              <w:bottom w:val="single" w:sz="4" w:space="0" w:color="B8CCE4"/>
            </w:tcBorders>
            <w:shd w:val="clear" w:color="auto" w:fill="auto"/>
          </w:tcPr>
          <w:p w:rsidR="00CB38C4" w:rsidRPr="00E301B8" w:rsidRDefault="00CB38C4" w:rsidP="0010465B">
            <w:pPr>
              <w:pStyle w:val="TableText"/>
            </w:pPr>
          </w:p>
        </w:tc>
      </w:tr>
      <w:tr w:rsidR="00CB38C4" w:rsidTr="0010465B">
        <w:trPr>
          <w:cantSplit/>
        </w:trPr>
        <w:tc>
          <w:tcPr>
            <w:tcW w:w="9356" w:type="dxa"/>
            <w:gridSpan w:val="3"/>
            <w:shd w:val="clear" w:color="auto" w:fill="DBE5F1"/>
          </w:tcPr>
          <w:p w:rsidR="00CB38C4" w:rsidRPr="00E301B8" w:rsidRDefault="00CB38C4" w:rsidP="0010465B">
            <w:pPr>
              <w:pStyle w:val="TableText"/>
            </w:pPr>
            <w:r w:rsidRPr="00CF2F51">
              <w:rPr>
                <w:b/>
              </w:rPr>
              <w:t>Reduction</w:t>
            </w:r>
          </w:p>
        </w:tc>
      </w:tr>
      <w:tr w:rsidR="00CB38C4" w:rsidTr="0010465B">
        <w:trPr>
          <w:cantSplit/>
        </w:trPr>
        <w:tc>
          <w:tcPr>
            <w:tcW w:w="4416" w:type="dxa"/>
            <w:shd w:val="clear" w:color="auto" w:fill="auto"/>
          </w:tcPr>
          <w:p w:rsidR="00CB38C4" w:rsidRPr="00E301B8" w:rsidRDefault="00CB38C4" w:rsidP="0010465B">
            <w:pPr>
              <w:pStyle w:val="TableText"/>
              <w:ind w:left="425" w:hanging="425"/>
            </w:pPr>
            <w:r>
              <w:t>4.</w:t>
            </w:r>
            <w:r>
              <w:tab/>
            </w:r>
            <w:r w:rsidRPr="00E301B8">
              <w:t>Risk reduction and resilience-building opportunities, role, processes articulated</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tcBorders>
              <w:bottom w:val="single" w:sz="4" w:space="0" w:color="B8CCE4"/>
            </w:tcBorders>
            <w:shd w:val="clear" w:color="auto" w:fill="auto"/>
          </w:tcPr>
          <w:p w:rsidR="00CB38C4" w:rsidRPr="00E301B8" w:rsidRDefault="00CB38C4" w:rsidP="0010465B">
            <w:pPr>
              <w:pStyle w:val="TableText"/>
              <w:ind w:left="425" w:hanging="425"/>
            </w:pPr>
            <w:r>
              <w:t>5.</w:t>
            </w:r>
            <w:r>
              <w:tab/>
            </w:r>
            <w:r w:rsidRPr="00E301B8">
              <w:t>Business continuity management plan and processes</w:t>
            </w:r>
          </w:p>
        </w:tc>
        <w:tc>
          <w:tcPr>
            <w:tcW w:w="970" w:type="dxa"/>
            <w:tcBorders>
              <w:bottom w:val="single" w:sz="4" w:space="0" w:color="B8CCE4"/>
            </w:tcBorders>
            <w:shd w:val="clear" w:color="auto" w:fill="auto"/>
          </w:tcPr>
          <w:p w:rsidR="00CB38C4" w:rsidRPr="00E301B8" w:rsidRDefault="00CB38C4" w:rsidP="0010465B">
            <w:pPr>
              <w:pStyle w:val="TableText"/>
              <w:jc w:val="center"/>
            </w:pPr>
          </w:p>
        </w:tc>
        <w:tc>
          <w:tcPr>
            <w:tcW w:w="3970" w:type="dxa"/>
            <w:tcBorders>
              <w:bottom w:val="single" w:sz="4" w:space="0" w:color="B8CCE4"/>
            </w:tcBorders>
            <w:shd w:val="clear" w:color="auto" w:fill="auto"/>
          </w:tcPr>
          <w:p w:rsidR="00CB38C4" w:rsidRPr="00E301B8" w:rsidRDefault="00CB38C4" w:rsidP="0010465B">
            <w:pPr>
              <w:pStyle w:val="TableText"/>
            </w:pPr>
          </w:p>
        </w:tc>
      </w:tr>
      <w:tr w:rsidR="00CB38C4" w:rsidTr="0010465B">
        <w:trPr>
          <w:cantSplit/>
        </w:trPr>
        <w:tc>
          <w:tcPr>
            <w:tcW w:w="4416" w:type="dxa"/>
            <w:shd w:val="clear" w:color="auto" w:fill="DBE5F1"/>
          </w:tcPr>
          <w:p w:rsidR="00CB38C4" w:rsidRPr="00CF2F51" w:rsidRDefault="00CB38C4" w:rsidP="0010465B">
            <w:pPr>
              <w:pStyle w:val="TableText"/>
              <w:ind w:left="425" w:hanging="425"/>
              <w:rPr>
                <w:b/>
              </w:rPr>
            </w:pPr>
            <w:r w:rsidRPr="00CF2F51">
              <w:rPr>
                <w:b/>
              </w:rPr>
              <w:t>Response</w:t>
            </w:r>
          </w:p>
        </w:tc>
        <w:tc>
          <w:tcPr>
            <w:tcW w:w="970" w:type="dxa"/>
            <w:shd w:val="clear" w:color="auto" w:fill="DBE5F1"/>
          </w:tcPr>
          <w:p w:rsidR="00CB38C4" w:rsidRPr="00E301B8" w:rsidRDefault="00CB38C4" w:rsidP="0010465B">
            <w:pPr>
              <w:pStyle w:val="TableText"/>
              <w:jc w:val="center"/>
            </w:pPr>
          </w:p>
        </w:tc>
        <w:tc>
          <w:tcPr>
            <w:tcW w:w="3970" w:type="dxa"/>
            <w:shd w:val="clear" w:color="auto" w:fill="DBE5F1"/>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6.</w:t>
            </w:r>
            <w:r>
              <w:tab/>
            </w:r>
            <w:r w:rsidRPr="00E301B8">
              <w:t>Response and response coordination roles, processes and capabilities: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a.</w:t>
            </w:r>
            <w:r>
              <w:tab/>
            </w:r>
            <w:r w:rsidRPr="00E301B8">
              <w:t>In-house health functions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b.</w:t>
            </w:r>
            <w:r>
              <w:tab/>
            </w:r>
            <w:r w:rsidRPr="00E301B8">
              <w:t>Partner services (including, for DHBs, neighbouring DHBs)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c.</w:t>
            </w:r>
            <w:r>
              <w:tab/>
            </w:r>
            <w:r w:rsidRPr="00E301B8">
              <w:t>Mass casualty response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d.</w:t>
            </w:r>
            <w:r>
              <w:tab/>
            </w:r>
            <w:r w:rsidRPr="00E301B8">
              <w:t>Hazardous substance decontamination</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tcBorders>
              <w:bottom w:val="single" w:sz="4" w:space="0" w:color="B8CCE4"/>
            </w:tcBorders>
            <w:shd w:val="clear" w:color="auto" w:fill="auto"/>
          </w:tcPr>
          <w:p w:rsidR="00CB38C4" w:rsidRPr="00E301B8" w:rsidRDefault="00CB38C4" w:rsidP="0010465B">
            <w:pPr>
              <w:pStyle w:val="TableText"/>
              <w:ind w:left="850" w:hanging="425"/>
            </w:pPr>
            <w:r>
              <w:t>e.</w:t>
            </w:r>
            <w:r>
              <w:tab/>
            </w:r>
            <w:r w:rsidRPr="00E301B8">
              <w:t>CIMS functions (at respective and subsidiary levels)</w:t>
            </w:r>
          </w:p>
        </w:tc>
        <w:tc>
          <w:tcPr>
            <w:tcW w:w="970" w:type="dxa"/>
            <w:tcBorders>
              <w:bottom w:val="single" w:sz="4" w:space="0" w:color="B8CCE4"/>
            </w:tcBorders>
            <w:shd w:val="clear" w:color="auto" w:fill="auto"/>
          </w:tcPr>
          <w:p w:rsidR="00CB38C4" w:rsidRPr="00E301B8" w:rsidRDefault="00CB38C4" w:rsidP="0010465B">
            <w:pPr>
              <w:pStyle w:val="TableText"/>
              <w:jc w:val="center"/>
            </w:pPr>
          </w:p>
        </w:tc>
        <w:tc>
          <w:tcPr>
            <w:tcW w:w="3970" w:type="dxa"/>
            <w:tcBorders>
              <w:bottom w:val="single" w:sz="4" w:space="0" w:color="B8CCE4"/>
            </w:tcBorders>
            <w:shd w:val="clear" w:color="auto" w:fill="auto"/>
          </w:tcPr>
          <w:p w:rsidR="00CB38C4" w:rsidRPr="00E301B8" w:rsidRDefault="00CB38C4" w:rsidP="0010465B">
            <w:pPr>
              <w:pStyle w:val="TableText"/>
            </w:pPr>
          </w:p>
        </w:tc>
      </w:tr>
      <w:tr w:rsidR="00CB38C4" w:rsidRPr="00CF2F51" w:rsidTr="0010465B">
        <w:trPr>
          <w:cantSplit/>
        </w:trPr>
        <w:tc>
          <w:tcPr>
            <w:tcW w:w="9356" w:type="dxa"/>
            <w:gridSpan w:val="3"/>
            <w:shd w:val="clear" w:color="auto" w:fill="DBE5F1"/>
          </w:tcPr>
          <w:p w:rsidR="00CB38C4" w:rsidRPr="00CF2F51" w:rsidRDefault="00CB38C4" w:rsidP="0010465B">
            <w:pPr>
              <w:pStyle w:val="TableText"/>
              <w:rPr>
                <w:b/>
              </w:rPr>
            </w:pPr>
            <w:r w:rsidRPr="00CF2F51">
              <w:rPr>
                <w:b/>
              </w:rPr>
              <w:t>Readiness</w:t>
            </w:r>
          </w:p>
        </w:tc>
      </w:tr>
      <w:tr w:rsidR="00CB38C4" w:rsidTr="0010465B">
        <w:trPr>
          <w:cantSplit/>
        </w:trPr>
        <w:tc>
          <w:tcPr>
            <w:tcW w:w="4416" w:type="dxa"/>
            <w:shd w:val="clear" w:color="auto" w:fill="auto"/>
          </w:tcPr>
          <w:p w:rsidR="00CB38C4" w:rsidRPr="00E301B8" w:rsidRDefault="00CB38C4" w:rsidP="0010465B">
            <w:pPr>
              <w:pStyle w:val="TableText"/>
              <w:ind w:left="425" w:hanging="425"/>
            </w:pPr>
            <w:r>
              <w:t>7.</w:t>
            </w:r>
            <w:r>
              <w:tab/>
            </w:r>
            <w:r w:rsidRPr="00E301B8">
              <w:t>Readiness processes, and activities documented:</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a.</w:t>
            </w:r>
            <w:r>
              <w:tab/>
            </w:r>
            <w:r w:rsidRPr="00E301B8">
              <w:t>Capability analysis (including training needs)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lastRenderedPageBreak/>
              <w:t>b.</w:t>
            </w:r>
            <w:r>
              <w:tab/>
            </w:r>
            <w:r w:rsidRPr="00E301B8">
              <w:t>Response functions professional development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c.</w:t>
            </w:r>
            <w:r>
              <w:tab/>
            </w:r>
            <w:r w:rsidRPr="00E301B8">
              <w:t>Response coordination professional development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d.</w:t>
            </w:r>
            <w:r>
              <w:tab/>
            </w:r>
            <w:r w:rsidRPr="00E301B8">
              <w:t>Response coordination information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e.</w:t>
            </w:r>
            <w:r>
              <w:tab/>
            </w:r>
            <w:r w:rsidRPr="00E301B8">
              <w:t>Resilient response coordination centre locations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8.</w:t>
            </w:r>
            <w:r>
              <w:tab/>
            </w:r>
            <w:r w:rsidRPr="00E301B8">
              <w:t>Alerting procedures (including SPOC)</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9.</w:t>
            </w:r>
            <w:r>
              <w:tab/>
            </w:r>
            <w:r w:rsidRPr="00E301B8">
              <w:t>Response activation process and roles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10.</w:t>
            </w:r>
            <w:r>
              <w:tab/>
            </w:r>
            <w:r w:rsidRPr="00E301B8">
              <w:t>Community engagement processes (including Māori and Pacific peoples)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11.</w:t>
            </w:r>
            <w:r>
              <w:tab/>
            </w:r>
            <w:r w:rsidRPr="00E301B8">
              <w:t xml:space="preserve">Vulnerable people support management </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12.</w:t>
            </w:r>
            <w:r>
              <w:tab/>
            </w:r>
            <w:r w:rsidRPr="00E301B8">
              <w:t>Surge management capabilities (in-house and receiving)</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13.</w:t>
            </w:r>
            <w:r>
              <w:tab/>
            </w:r>
            <w:r w:rsidRPr="00E301B8">
              <w:t>Critical resource management (including national stockpiles)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14.</w:t>
            </w:r>
            <w:r>
              <w:tab/>
            </w:r>
            <w:r w:rsidRPr="00E301B8">
              <w:t>Emergency patient management, internal and external transfer processes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15.</w:t>
            </w:r>
            <w:r>
              <w:tab/>
            </w:r>
            <w:r w:rsidRPr="00E301B8">
              <w:t>Community psychosocial support and recovery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16.</w:t>
            </w:r>
            <w:r>
              <w:tab/>
            </w:r>
            <w:r w:rsidRPr="00E301B8">
              <w:t>Management of health-related spontaneous volunteers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17.</w:t>
            </w:r>
            <w:r>
              <w:tab/>
            </w:r>
            <w:r w:rsidRPr="00E301B8">
              <w:t>Management of deceased</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18.</w:t>
            </w:r>
            <w:r>
              <w:tab/>
            </w:r>
            <w:r w:rsidRPr="00E301B8">
              <w:t>Recovery management (within local/regional recovery management)</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19.</w:t>
            </w:r>
            <w:r>
              <w:tab/>
            </w:r>
            <w:r w:rsidRPr="00E301B8">
              <w:t>Asset management strategy – major risk inclusion</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20.</w:t>
            </w:r>
            <w:r>
              <w:tab/>
            </w:r>
            <w:r w:rsidRPr="00E301B8">
              <w:t>Monitoring and evaluation processes (all functions)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425" w:hanging="425"/>
            </w:pPr>
            <w:r>
              <w:t>21.</w:t>
            </w:r>
            <w:r>
              <w:tab/>
            </w:r>
            <w:r w:rsidRPr="00E301B8">
              <w:t>Communication and collaboration:</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a.</w:t>
            </w:r>
            <w:r>
              <w:tab/>
            </w:r>
            <w:r w:rsidRPr="00E301B8">
              <w:t>Emergency and risk management on governance/executive agendas/key performance indicators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b.</w:t>
            </w:r>
            <w:r>
              <w:tab/>
            </w:r>
            <w:r w:rsidRPr="00E301B8">
              <w:t>Executive collaboration with emergency management peers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c.</w:t>
            </w:r>
            <w:r>
              <w:tab/>
            </w:r>
            <w:r w:rsidRPr="00E301B8">
              <w:t>Management collaboration on emergency management (in-house)</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d.</w:t>
            </w:r>
            <w:r>
              <w:tab/>
            </w:r>
            <w:r w:rsidRPr="00E301B8">
              <w:t>Management collaboration on emergency management (with external peers)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r w:rsidR="00CB38C4" w:rsidTr="0010465B">
        <w:trPr>
          <w:cantSplit/>
        </w:trPr>
        <w:tc>
          <w:tcPr>
            <w:tcW w:w="4416" w:type="dxa"/>
            <w:shd w:val="clear" w:color="auto" w:fill="auto"/>
          </w:tcPr>
          <w:p w:rsidR="00CB38C4" w:rsidRPr="00E301B8" w:rsidRDefault="00CB38C4" w:rsidP="0010465B">
            <w:pPr>
              <w:pStyle w:val="TableText"/>
              <w:ind w:left="850" w:hanging="425"/>
            </w:pPr>
            <w:r>
              <w:t>e.</w:t>
            </w:r>
            <w:r>
              <w:tab/>
            </w:r>
            <w:r w:rsidRPr="00E301B8">
              <w:t>Functional emergency management engagement with communities/clients</w:t>
            </w:r>
          </w:p>
        </w:tc>
        <w:tc>
          <w:tcPr>
            <w:tcW w:w="970" w:type="dxa"/>
            <w:shd w:val="clear" w:color="auto" w:fill="auto"/>
          </w:tcPr>
          <w:p w:rsidR="00CB38C4" w:rsidRPr="00E301B8" w:rsidRDefault="00CB38C4" w:rsidP="0010465B">
            <w:pPr>
              <w:pStyle w:val="TableText"/>
              <w:jc w:val="center"/>
            </w:pPr>
          </w:p>
        </w:tc>
        <w:tc>
          <w:tcPr>
            <w:tcW w:w="3970" w:type="dxa"/>
            <w:shd w:val="clear" w:color="auto" w:fill="auto"/>
          </w:tcPr>
          <w:p w:rsidR="00CB38C4" w:rsidRPr="00E301B8" w:rsidRDefault="00CB38C4" w:rsidP="0010465B">
            <w:pPr>
              <w:pStyle w:val="TableText"/>
            </w:pPr>
          </w:p>
        </w:tc>
      </w:tr>
    </w:tbl>
    <w:p w:rsidR="007E37BB" w:rsidRDefault="007E37BB"/>
    <w:sectPr w:rsidR="007E37BB" w:rsidSect="009E3D4B">
      <w:headerReference w:type="even" r:id="rId7"/>
      <w:headerReference w:type="default" r:id="rId8"/>
      <w:footerReference w:type="even" r:id="rId9"/>
      <w:footerReference w:type="default" r:id="rId10"/>
      <w:headerReference w:type="first" r:id="rId11"/>
      <w:footerReference w:type="first" r:id="rId12"/>
      <w:pgSz w:w="11906" w:h="16838"/>
      <w:pgMar w:top="1440" w:right="1440" w:bottom="851" w:left="0" w:header="397" w:footer="0" w:gutter="11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F4D" w:rsidRDefault="00A90F4D" w:rsidP="00CB38C4">
      <w:pPr>
        <w:spacing w:line="240" w:lineRule="auto"/>
      </w:pPr>
      <w:r>
        <w:separator/>
      </w:r>
    </w:p>
  </w:endnote>
  <w:endnote w:type="continuationSeparator" w:id="0">
    <w:p w:rsidR="00A90F4D" w:rsidRDefault="00A90F4D" w:rsidP="00CB38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BB" w:rsidRDefault="007E37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53"/>
      <w:gridCol w:w="822"/>
      <w:gridCol w:w="1276"/>
      <w:gridCol w:w="1418"/>
      <w:gridCol w:w="1304"/>
      <w:gridCol w:w="862"/>
      <w:gridCol w:w="1118"/>
      <w:gridCol w:w="1535"/>
      <w:gridCol w:w="709"/>
    </w:tblGrid>
    <w:tr w:rsidR="007E37BB" w:rsidRPr="00022CBE" w:rsidTr="009E3D4B">
      <w:trPr>
        <w:trHeight w:val="291"/>
      </w:trPr>
      <w:tc>
        <w:tcPr>
          <w:tcW w:w="993"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Version:</w:t>
          </w:r>
        </w:p>
      </w:tc>
      <w:tc>
        <w:tcPr>
          <w:tcW w:w="453"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V</w:t>
          </w:r>
          <w:r>
            <w:rPr>
              <w:rFonts w:asciiTheme="minorHAnsi" w:hAnsiTheme="minorHAnsi" w:cstheme="minorHAnsi"/>
            </w:rPr>
            <w:t>1</w:t>
          </w:r>
        </w:p>
      </w:tc>
      <w:tc>
        <w:tcPr>
          <w:tcW w:w="822"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 xml:space="preserve">Issued </w:t>
          </w:r>
        </w:p>
      </w:tc>
      <w:tc>
        <w:tcPr>
          <w:tcW w:w="1276"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Pr>
              <w:rFonts w:asciiTheme="minorHAnsi" w:hAnsiTheme="minorHAnsi" w:cstheme="minorHAnsi"/>
            </w:rPr>
            <w:t xml:space="preserve">Oct. </w:t>
          </w:r>
          <w:r w:rsidRPr="00022CBE">
            <w:rPr>
              <w:rFonts w:asciiTheme="minorHAnsi" w:hAnsiTheme="minorHAnsi" w:cstheme="minorHAnsi"/>
            </w:rPr>
            <w:t>2017</w:t>
          </w:r>
        </w:p>
      </w:tc>
      <w:tc>
        <w:tcPr>
          <w:tcW w:w="1418"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Created by:</w:t>
          </w:r>
        </w:p>
      </w:tc>
      <w:tc>
        <w:tcPr>
          <w:tcW w:w="1304" w:type="dxa"/>
          <w:tcBorders>
            <w:top w:val="single" w:sz="4" w:space="0" w:color="auto"/>
            <w:left w:val="single" w:sz="4" w:space="0" w:color="auto"/>
            <w:bottom w:val="single" w:sz="4" w:space="0" w:color="auto"/>
            <w:right w:val="single" w:sz="4" w:space="0" w:color="auto"/>
          </w:tcBorders>
          <w:hideMark/>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GSHarnisch</w:t>
          </w:r>
        </w:p>
      </w:tc>
      <w:tc>
        <w:tcPr>
          <w:tcW w:w="862" w:type="dxa"/>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 xml:space="preserve">Review </w:t>
          </w:r>
        </w:p>
      </w:tc>
      <w:tc>
        <w:tcPr>
          <w:tcW w:w="1118" w:type="dxa"/>
        </w:tcPr>
        <w:p w:rsidR="007E37BB" w:rsidRPr="00022CBE" w:rsidRDefault="007E37BB" w:rsidP="007E37BB">
          <w:pPr>
            <w:pStyle w:val="Footer"/>
            <w:rPr>
              <w:rFonts w:asciiTheme="minorHAnsi" w:hAnsiTheme="minorHAnsi" w:cstheme="minorHAnsi"/>
              <w:b/>
            </w:rPr>
          </w:pPr>
          <w:r>
            <w:rPr>
              <w:rFonts w:asciiTheme="minorHAnsi" w:hAnsiTheme="minorHAnsi" w:cstheme="minorHAnsi"/>
            </w:rPr>
            <w:t>Oct .</w:t>
          </w:r>
          <w:r w:rsidRPr="00022CBE">
            <w:rPr>
              <w:rFonts w:asciiTheme="minorHAnsi" w:hAnsiTheme="minorHAnsi" w:cstheme="minorHAnsi"/>
            </w:rPr>
            <w:t>2020</w:t>
          </w:r>
        </w:p>
      </w:tc>
      <w:tc>
        <w:tcPr>
          <w:tcW w:w="1535" w:type="dxa"/>
        </w:tcPr>
        <w:p w:rsidR="007E37BB" w:rsidRPr="00022CBE" w:rsidRDefault="007E37BB" w:rsidP="007E37BB">
          <w:pPr>
            <w:pStyle w:val="Footer"/>
            <w:rPr>
              <w:rFonts w:asciiTheme="minorHAnsi" w:hAnsiTheme="minorHAnsi" w:cstheme="minorHAnsi"/>
              <w:b/>
            </w:rPr>
          </w:pPr>
          <w:r w:rsidRPr="00022CBE">
            <w:rPr>
              <w:rFonts w:asciiTheme="minorHAnsi" w:hAnsiTheme="minorHAnsi" w:cstheme="minorHAnsi"/>
            </w:rPr>
            <w:t>Authorised by:</w:t>
          </w:r>
        </w:p>
      </w:tc>
      <w:tc>
        <w:tcPr>
          <w:tcW w:w="709" w:type="dxa"/>
        </w:tcPr>
        <w:p w:rsidR="007E37BB" w:rsidRPr="00022CBE" w:rsidRDefault="007E37BB" w:rsidP="007E37BB">
          <w:pPr>
            <w:pStyle w:val="Footer"/>
            <w:rPr>
              <w:rFonts w:asciiTheme="minorHAnsi" w:hAnsiTheme="minorHAnsi" w:cstheme="minorHAnsi"/>
              <w:b/>
            </w:rPr>
          </w:pPr>
        </w:p>
      </w:tc>
    </w:tr>
  </w:tbl>
  <w:p w:rsidR="007E37BB" w:rsidRDefault="007E37BB" w:rsidP="007E37BB">
    <w:pPr>
      <w:pStyle w:val="Footer"/>
      <w:jc w:val="center"/>
    </w:pPr>
  </w:p>
  <w:p w:rsidR="007E37BB" w:rsidRDefault="007E37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BB" w:rsidRDefault="007E3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F4D" w:rsidRDefault="00A90F4D" w:rsidP="00CB38C4">
      <w:pPr>
        <w:spacing w:line="240" w:lineRule="auto"/>
      </w:pPr>
      <w:r>
        <w:separator/>
      </w:r>
    </w:p>
  </w:footnote>
  <w:footnote w:type="continuationSeparator" w:id="0">
    <w:p w:rsidR="00A90F4D" w:rsidRDefault="00A90F4D" w:rsidP="00CB38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BB" w:rsidRDefault="007E37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8C4" w:rsidRPr="00CB38C4" w:rsidRDefault="00833920" w:rsidP="00CB38C4">
    <w:pPr>
      <w:pStyle w:val="Heading1"/>
    </w:pPr>
    <w:r w:rsidRPr="00DD1CCC">
      <w:rPr>
        <w:rFonts w:asciiTheme="minorHAnsi" w:hAnsiTheme="minorHAnsi" w:cstheme="minorHAnsi"/>
        <w:noProof/>
        <w:lang w:eastAsia="en-NZ"/>
      </w:rPr>
      <mc:AlternateContent>
        <mc:Choice Requires="wps">
          <w:drawing>
            <wp:anchor distT="45720" distB="45720" distL="114300" distR="114300" simplePos="0" relativeHeight="251659264" behindDoc="0" locked="0" layoutInCell="1" allowOverlap="1" wp14:anchorId="40906A29" wp14:editId="7F457AD0">
              <wp:simplePos x="0" y="0"/>
              <wp:positionH relativeFrom="column">
                <wp:posOffset>-476250</wp:posOffset>
              </wp:positionH>
              <wp:positionV relativeFrom="paragraph">
                <wp:posOffset>-88265</wp:posOffset>
              </wp:positionV>
              <wp:extent cx="914400" cy="2762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6225"/>
                      </a:xfrm>
                      <a:prstGeom prst="rect">
                        <a:avLst/>
                      </a:prstGeom>
                      <a:solidFill>
                        <a:srgbClr val="FFFFFF"/>
                      </a:solidFill>
                      <a:ln w="9525">
                        <a:noFill/>
                        <a:miter lim="800000"/>
                        <a:headEnd/>
                        <a:tailEnd/>
                      </a:ln>
                    </wps:spPr>
                    <wps:txbx>
                      <w:txbxContent>
                        <w:p w:rsidR="00833920" w:rsidRPr="00DD1CCC" w:rsidRDefault="00833920" w:rsidP="00833920">
                          <w:pPr>
                            <w:rPr>
                              <w:rFonts w:asciiTheme="minorHAnsi" w:hAnsiTheme="minorHAnsi" w:cstheme="minorHAnsi"/>
                            </w:rPr>
                          </w:pPr>
                          <w:r w:rsidRPr="00DD1CCC">
                            <w:rPr>
                              <w:rFonts w:asciiTheme="minorHAnsi" w:hAnsiTheme="minorHAnsi" w:cstheme="minorHAnsi"/>
                              <w:highlight w:val="lightGray"/>
                            </w:rPr>
                            <w:t>Service Logo</w:t>
                          </w:r>
                        </w:p>
                        <w:p w:rsidR="00833920" w:rsidRDefault="00833920" w:rsidP="008339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906A29" id="_x0000_t202" coordsize="21600,21600" o:spt="202" path="m,l,21600r21600,l21600,xe">
              <v:stroke joinstyle="miter"/>
              <v:path gradientshapeok="t" o:connecttype="rect"/>
            </v:shapetype>
            <v:shape id="Text Box 2" o:spid="_x0000_s1026" type="#_x0000_t202" style="position:absolute;left:0;text-align:left;margin-left:-37.5pt;margin-top:-6.95pt;width:1in;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ZdHQIAABwEAAAOAAAAZHJzL2Uyb0RvYy54bWysU9tu2zAMfR+wfxD0vtgxkqYz4hRdugwD&#10;ugvQ7gNoWY6FyaImKbG7rx8lp2m2vQ3TgyCJ5OHhIbW+GXvNjtJ5habi81nOmTQCG2X2Ff/2uHtz&#10;zZkPYBrQaGTFn6TnN5vXr9aDLWWBHepGOkYgxpeDrXgXgi2zzItO9uBnaKUhY4uuh0BXt88aBwOh&#10;9zor8vwqG9A11qGQ3tPr3WTkm4TftlKEL23rZWC64sQtpN2lvY57tllDuXdgOyVONOAfWPSgDCU9&#10;Q91BAHZw6i+oXgmHHtswE9hn2LZKyFQDVTPP/6jmoQMrUy0kjrdnmfz/gxWfj18dU03Fi/mKMwM9&#10;NelRjoG9w5EVUZ/B+pLcHiw5hpGeqc+pVm/vUXz3zOC2A7OXt87h0EloiN88RmYXoROOjyD18Akb&#10;SgOHgAlobF0fxSM5GKFTn57OvYlUBD2+nS8WOVkEmYrVVVEsUwYon4Ot8+GDxJ7FQ8UdtT6Bw/He&#10;h0gGymeXmMujVs1OaZ0ubl9vtWNHoDHZpXVC/81NGzYQkyXljlEGY3yaoF4FGmOt+opf53HFcCij&#10;GO9Nk84BlJ7OxESbkzpRkEmaMNYjOUbJamyeSCeH07jS96JDh+4nZwONasX9jwM4yZn+aEjrJA3N&#10;droslquCZHKXlvrSAkYQVMUDZ9NxG9J/mCq6pZ60Kun1wuTElUYwyXj6LnHGL+/J6+VTb34BAAD/&#10;/wMAUEsDBBQABgAIAAAAIQDijTBv3gAAAAkBAAAPAAAAZHJzL2Rvd25yZXYueG1sTI9BT4NAEIXv&#10;Jv6HzZh4Me3SakGQpVETjdfW/oABpkBkZwm7LfTfO57sbWbey5vv5dvZ9upMo+8cG1gtI1DElas7&#10;bgwcvj8Wz6B8QK6xd0wGLuRhW9ze5JjVbuIdnfehURLCPkMDbQhDprWvWrLol24gFu3oRotB1rHR&#10;9YiThNter6Mo1hY7lg8tDvTeUvWzP1kDx6/pYZNO5Wc4JLun+A27pHQXY+7v5tcXUIHm8G+GP3xB&#10;h0KYSnfi2qvewCLZSJcgw+oxBSWOOJVDaWCdxqCLXF83KH4BAAD//wMAUEsBAi0AFAAGAAgAAAAh&#10;ALaDOJL+AAAA4QEAABMAAAAAAAAAAAAAAAAAAAAAAFtDb250ZW50X1R5cGVzXS54bWxQSwECLQAU&#10;AAYACAAAACEAOP0h/9YAAACUAQAACwAAAAAAAAAAAAAAAAAvAQAAX3JlbHMvLnJlbHNQSwECLQAU&#10;AAYACAAAACEAxXFmXR0CAAAcBAAADgAAAAAAAAAAAAAAAAAuAgAAZHJzL2Uyb0RvYy54bWxQSwEC&#10;LQAUAAYACAAAACEA4o0wb94AAAAJAQAADwAAAAAAAAAAAAAAAAB3BAAAZHJzL2Rvd25yZXYueG1s&#10;UEsFBgAAAAAEAAQA8wAAAIIFAAAAAA==&#10;" stroked="f">
              <v:textbox>
                <w:txbxContent>
                  <w:p w:rsidR="00833920" w:rsidRPr="00DD1CCC" w:rsidRDefault="00833920" w:rsidP="00833920">
                    <w:pPr>
                      <w:rPr>
                        <w:rFonts w:asciiTheme="minorHAnsi" w:hAnsiTheme="minorHAnsi" w:cstheme="minorHAnsi"/>
                      </w:rPr>
                    </w:pPr>
                    <w:r w:rsidRPr="00DD1CCC">
                      <w:rPr>
                        <w:rFonts w:asciiTheme="minorHAnsi" w:hAnsiTheme="minorHAnsi" w:cstheme="minorHAnsi"/>
                        <w:highlight w:val="lightGray"/>
                      </w:rPr>
                      <w:t>Service Logo</w:t>
                    </w:r>
                  </w:p>
                  <w:p w:rsidR="00833920" w:rsidRDefault="00833920" w:rsidP="00833920"/>
                </w:txbxContent>
              </v:textbox>
              <w10:wrap type="square"/>
            </v:shape>
          </w:pict>
        </mc:Fallback>
      </mc:AlternateContent>
    </w:r>
    <w:r w:rsidR="00CB38C4" w:rsidRPr="00CB38C4">
      <w:t>Self-assessment checklist for a health emergency plan</w:t>
    </w:r>
  </w:p>
  <w:p w:rsidR="00CB38C4" w:rsidRPr="009E3D4B" w:rsidRDefault="009E3D4B" w:rsidP="00CB38C4">
    <w:pPr>
      <w:pStyle w:val="Header"/>
      <w:jc w:val="center"/>
      <w:rPr>
        <w:rFonts w:asciiTheme="minorHAnsi" w:hAnsiTheme="minorHAnsi" w:cstheme="minorHAnsi"/>
        <w:b/>
      </w:rPr>
    </w:pPr>
    <w:r w:rsidRPr="009E3D4B">
      <w:rPr>
        <w:rFonts w:asciiTheme="minorHAnsi" w:hAnsiTheme="minorHAnsi" w:cstheme="minorHAnsi"/>
        <w:b/>
        <w:sz w:val="20"/>
      </w:rPr>
      <w:t>(National Health Emergency Plan: A framework for the health and disability sector 201</w:t>
    </w:r>
    <w:r w:rsidR="00577D1C">
      <w:rPr>
        <w:rFonts w:asciiTheme="minorHAnsi" w:hAnsiTheme="minorHAnsi" w:cstheme="minorHAnsi"/>
        <w:b/>
        <w:sz w:val="20"/>
      </w:rPr>
      <w:t>5</w:t>
    </w:r>
    <w:r w:rsidRPr="009E3D4B">
      <w:rPr>
        <w:rFonts w:asciiTheme="minorHAnsi" w:hAnsiTheme="minorHAnsi" w:cstheme="minorHAnsi"/>
        <w:b/>
        <w:sz w:val="2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BB" w:rsidRDefault="007E37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8C4"/>
    <w:rsid w:val="00053233"/>
    <w:rsid w:val="00450F3E"/>
    <w:rsid w:val="004A45D7"/>
    <w:rsid w:val="00577D1C"/>
    <w:rsid w:val="00591E0E"/>
    <w:rsid w:val="006F4CBD"/>
    <w:rsid w:val="007E37BB"/>
    <w:rsid w:val="00833920"/>
    <w:rsid w:val="0091595F"/>
    <w:rsid w:val="009E3D4B"/>
    <w:rsid w:val="00A90F4D"/>
    <w:rsid w:val="00BB5C6E"/>
    <w:rsid w:val="00C52B3D"/>
    <w:rsid w:val="00CB38C4"/>
    <w:rsid w:val="00F52AA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90CD43E-EDFE-4FF9-96D2-4EA3AF5F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8C4"/>
    <w:pPr>
      <w:spacing w:line="264" w:lineRule="auto"/>
    </w:pPr>
    <w:rPr>
      <w:rFonts w:ascii="Georgia" w:eastAsia="Times New Roman" w:hAnsi="Georgia" w:cs="Times New Roman"/>
      <w:szCs w:val="20"/>
      <w:lang w:eastAsia="en-GB"/>
    </w:rPr>
  </w:style>
  <w:style w:type="paragraph" w:styleId="Heading1">
    <w:name w:val="heading 1"/>
    <w:basedOn w:val="Normal"/>
    <w:next w:val="Normal"/>
    <w:link w:val="Heading1Char"/>
    <w:autoRedefine/>
    <w:uiPriority w:val="9"/>
    <w:qFormat/>
    <w:rsid w:val="00CB38C4"/>
    <w:pPr>
      <w:keepNext/>
      <w:keepLines/>
      <w:spacing w:before="240" w:line="240" w:lineRule="auto"/>
      <w:jc w:val="center"/>
      <w:outlineLvl w:val="0"/>
    </w:pPr>
    <w:rPr>
      <w:rFonts w:asciiTheme="majorHAnsi" w:eastAsiaTheme="majorEastAsia" w:hAnsiTheme="majorHAnsi" w:cstheme="majorBidi"/>
      <w:b/>
      <w:color w:val="000000" w:themeColor="text1"/>
      <w:sz w:val="28"/>
      <w:szCs w:val="32"/>
      <w:lang w:eastAsia="en-US"/>
    </w:rPr>
  </w:style>
  <w:style w:type="paragraph" w:styleId="Heading3">
    <w:name w:val="heading 3"/>
    <w:basedOn w:val="Normal"/>
    <w:next w:val="Normal"/>
    <w:link w:val="Heading3Char"/>
    <w:uiPriority w:val="9"/>
    <w:qFormat/>
    <w:rsid w:val="00CB38C4"/>
    <w:pPr>
      <w:keepNext/>
      <w:spacing w:before="120" w:after="120"/>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91595F"/>
    <w:rPr>
      <w:rFonts w:ascii="Calibri" w:hAnsi="Calibri" w:cs="Times New Roman"/>
      <w:szCs w:val="20"/>
    </w:rPr>
  </w:style>
  <w:style w:type="character" w:customStyle="1" w:styleId="Heading1Char">
    <w:name w:val="Heading 1 Char"/>
    <w:basedOn w:val="DefaultParagraphFont"/>
    <w:link w:val="Heading1"/>
    <w:uiPriority w:val="9"/>
    <w:rsid w:val="00CB38C4"/>
    <w:rPr>
      <w:rFonts w:asciiTheme="majorHAnsi" w:eastAsiaTheme="majorEastAsia" w:hAnsiTheme="majorHAnsi" w:cstheme="majorBidi"/>
      <w:b/>
      <w:color w:val="000000" w:themeColor="text1"/>
      <w:sz w:val="28"/>
      <w:szCs w:val="32"/>
    </w:rPr>
  </w:style>
  <w:style w:type="character" w:customStyle="1" w:styleId="Heading3Char">
    <w:name w:val="Heading 3 Char"/>
    <w:basedOn w:val="DefaultParagraphFont"/>
    <w:link w:val="Heading3"/>
    <w:uiPriority w:val="9"/>
    <w:rsid w:val="00CB38C4"/>
    <w:rPr>
      <w:rFonts w:ascii="Georgia" w:eastAsia="Times New Roman" w:hAnsi="Georgia" w:cs="Times New Roman"/>
      <w:b/>
      <w:sz w:val="28"/>
      <w:szCs w:val="20"/>
      <w:lang w:eastAsia="en-GB"/>
    </w:rPr>
  </w:style>
  <w:style w:type="paragraph" w:customStyle="1" w:styleId="TableText">
    <w:name w:val="TableText"/>
    <w:basedOn w:val="Normal"/>
    <w:qFormat/>
    <w:rsid w:val="00CB38C4"/>
    <w:pPr>
      <w:spacing w:before="60" w:after="60" w:line="240" w:lineRule="auto"/>
    </w:pPr>
    <w:rPr>
      <w:rFonts w:ascii="Arial" w:hAnsi="Arial"/>
      <w:sz w:val="18"/>
    </w:rPr>
  </w:style>
  <w:style w:type="paragraph" w:styleId="Header">
    <w:name w:val="header"/>
    <w:basedOn w:val="Normal"/>
    <w:link w:val="HeaderChar"/>
    <w:uiPriority w:val="99"/>
    <w:unhideWhenUsed/>
    <w:rsid w:val="00CB38C4"/>
    <w:pPr>
      <w:tabs>
        <w:tab w:val="center" w:pos="4513"/>
        <w:tab w:val="right" w:pos="9026"/>
      </w:tabs>
      <w:spacing w:line="240" w:lineRule="auto"/>
    </w:pPr>
  </w:style>
  <w:style w:type="character" w:customStyle="1" w:styleId="HeaderChar">
    <w:name w:val="Header Char"/>
    <w:basedOn w:val="DefaultParagraphFont"/>
    <w:link w:val="Header"/>
    <w:uiPriority w:val="99"/>
    <w:rsid w:val="00CB38C4"/>
    <w:rPr>
      <w:rFonts w:ascii="Georgia" w:eastAsia="Times New Roman" w:hAnsi="Georgia" w:cs="Times New Roman"/>
      <w:szCs w:val="20"/>
      <w:lang w:eastAsia="en-GB"/>
    </w:rPr>
  </w:style>
  <w:style w:type="paragraph" w:styleId="Footer">
    <w:name w:val="footer"/>
    <w:basedOn w:val="Normal"/>
    <w:link w:val="FooterChar"/>
    <w:uiPriority w:val="99"/>
    <w:unhideWhenUsed/>
    <w:rsid w:val="00CB38C4"/>
    <w:pPr>
      <w:tabs>
        <w:tab w:val="center" w:pos="4513"/>
        <w:tab w:val="right" w:pos="9026"/>
      </w:tabs>
      <w:spacing w:line="240" w:lineRule="auto"/>
    </w:pPr>
  </w:style>
  <w:style w:type="character" w:customStyle="1" w:styleId="FooterChar">
    <w:name w:val="Footer Char"/>
    <w:basedOn w:val="DefaultParagraphFont"/>
    <w:link w:val="Footer"/>
    <w:uiPriority w:val="99"/>
    <w:rsid w:val="00CB38C4"/>
    <w:rPr>
      <w:rFonts w:ascii="Georgia" w:eastAsia="Times New Roman" w:hAnsi="Georgia" w:cs="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C989A-C3A0-4F83-B359-3948B6F0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Harnisch</dc:creator>
  <cp:keywords/>
  <dc:description/>
  <cp:lastModifiedBy>Sue Erby</cp:lastModifiedBy>
  <cp:revision>2</cp:revision>
  <dcterms:created xsi:type="dcterms:W3CDTF">2017-10-11T01:53:00Z</dcterms:created>
  <dcterms:modified xsi:type="dcterms:W3CDTF">2017-10-11T01:53:00Z</dcterms:modified>
</cp:coreProperties>
</file>